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8502"/>
        <w:gridCol w:w="2298"/>
      </w:tblGrid>
      <w:tr w:rsidR="005C4FD3" w:rsidTr="009F48CD">
        <w:tc>
          <w:tcPr>
            <w:tcW w:w="3936" w:type="pct"/>
            <w:tcBorders>
              <w:top w:val="nil"/>
              <w:left w:val="nil"/>
              <w:bottom w:val="nil"/>
              <w:right w:val="nil"/>
            </w:tcBorders>
            <w:tcMar>
              <w:top w:w="0" w:type="dxa"/>
              <w:left w:w="6" w:type="dxa"/>
              <w:bottom w:w="0" w:type="dxa"/>
              <w:right w:w="6" w:type="dxa"/>
            </w:tcMar>
            <w:hideMark/>
          </w:tcPr>
          <w:p w:rsidR="005C4FD3" w:rsidRDefault="005C4FD3" w:rsidP="009F48CD">
            <w:pPr>
              <w:pStyle w:val="newncpi"/>
            </w:pPr>
            <w:r>
              <w:t> </w:t>
            </w:r>
          </w:p>
        </w:tc>
        <w:tc>
          <w:tcPr>
            <w:tcW w:w="1064" w:type="pct"/>
            <w:tcBorders>
              <w:top w:val="nil"/>
              <w:left w:val="nil"/>
              <w:bottom w:val="nil"/>
              <w:right w:val="nil"/>
            </w:tcBorders>
            <w:tcMar>
              <w:top w:w="0" w:type="dxa"/>
              <w:left w:w="6" w:type="dxa"/>
              <w:bottom w:w="0" w:type="dxa"/>
              <w:right w:w="6" w:type="dxa"/>
            </w:tcMar>
            <w:hideMark/>
          </w:tcPr>
          <w:p w:rsidR="005C4FD3" w:rsidRDefault="005C4FD3" w:rsidP="009F48CD">
            <w:pPr>
              <w:pStyle w:val="capu1"/>
            </w:pPr>
            <w:r>
              <w:t>УТВЕРЖДЕНО</w:t>
            </w:r>
          </w:p>
          <w:p w:rsidR="005C4FD3" w:rsidRDefault="005C4FD3" w:rsidP="009F48CD">
            <w:pPr>
              <w:pStyle w:val="cap1"/>
            </w:pPr>
            <w:hyperlink w:anchor="a1" w:tooltip="+" w:history="1">
              <w:r>
                <w:rPr>
                  <w:rStyle w:val="a3"/>
                </w:rPr>
                <w:t>Указ</w:t>
              </w:r>
            </w:hyperlink>
            <w:r>
              <w:t xml:space="preserve"> Президента</w:t>
            </w:r>
            <w:r>
              <w:br/>
              <w:t>Республики Беларусь</w:t>
            </w:r>
          </w:p>
          <w:p w:rsidR="005C4FD3" w:rsidRDefault="005C4FD3" w:rsidP="009F48CD">
            <w:pPr>
              <w:pStyle w:val="cap1"/>
            </w:pPr>
            <w:r>
              <w:t>27.01.2022 № 23</w:t>
            </w:r>
          </w:p>
        </w:tc>
      </w:tr>
    </w:tbl>
    <w:p w:rsidR="005C4FD3" w:rsidRDefault="005C4FD3" w:rsidP="005C4FD3">
      <w:pPr>
        <w:pStyle w:val="titleu"/>
      </w:pPr>
      <w:bookmarkStart w:id="0" w:name="a15"/>
      <w:bookmarkEnd w:id="0"/>
      <w:r>
        <w:t>ПРАВИЛА</w:t>
      </w:r>
      <w:r>
        <w:br/>
        <w:t>приема лиц для получения среднего специального образования</w:t>
      </w:r>
    </w:p>
    <w:p w:rsidR="005C4FD3" w:rsidRDefault="005C4FD3" w:rsidP="005C4FD3">
      <w:pPr>
        <w:pStyle w:val="chapter"/>
      </w:pPr>
      <w:bookmarkStart w:id="1" w:name="a102"/>
      <w:bookmarkEnd w:id="1"/>
      <w:r>
        <w:t>ГЛАВА 1</w:t>
      </w:r>
      <w:r>
        <w:br/>
        <w:t>ОБЩИЕ ПОЛОЖЕНИЯ</w:t>
      </w:r>
    </w:p>
    <w:p w:rsidR="005C4FD3" w:rsidRDefault="005C4FD3" w:rsidP="005C4FD3">
      <w:pPr>
        <w:pStyle w:val="point"/>
      </w:pPr>
      <w: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rsidR="005C4FD3" w:rsidRDefault="005C4FD3" w:rsidP="005C4FD3">
      <w:pPr>
        <w:pStyle w:val="point"/>
      </w:pPr>
      <w: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rsidR="005C4FD3" w:rsidRDefault="005C4FD3" w:rsidP="005C4FD3">
      <w:pPr>
        <w:pStyle w:val="point"/>
      </w:pPr>
      <w:bookmarkStart w:id="2" w:name="a51"/>
      <w:bookmarkEnd w:id="2"/>
      <w: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rsidR="005C4FD3" w:rsidRDefault="005C4FD3" w:rsidP="005C4FD3">
      <w:pPr>
        <w:pStyle w:val="newncpi"/>
      </w:pPr>
      <w: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rsidR="005C4FD3" w:rsidRDefault="005C4FD3" w:rsidP="005C4FD3">
      <w:pPr>
        <w:pStyle w:val="newncpi"/>
      </w:pPr>
      <w: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rsidR="005C4FD3" w:rsidRDefault="005C4FD3" w:rsidP="005C4FD3">
      <w:pPr>
        <w:pStyle w:val="newncpi"/>
      </w:pPr>
      <w: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w:t>
      </w:r>
      <w:proofErr w:type="spellStart"/>
      <w:r>
        <w:t>Кыргызской</w:t>
      </w:r>
      <w:proofErr w:type="spellEnd"/>
      <w:r>
        <w:t xml:space="preserve">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w:t>
      </w:r>
      <w:hyperlink w:anchor="a51" w:tooltip="+" w:history="1">
        <w:r>
          <w:rPr>
            <w:rStyle w:val="a3"/>
          </w:rPr>
          <w:t>части первой</w:t>
        </w:r>
      </w:hyperlink>
      <w:r>
        <w:t xml:space="preserve"> настоящего пункта или </w:t>
      </w:r>
      <w:hyperlink w:anchor="a50" w:tooltip="+" w:history="1">
        <w:r>
          <w:rPr>
            <w:rStyle w:val="a3"/>
          </w:rPr>
          <w:t>части первой</w:t>
        </w:r>
      </w:hyperlink>
      <w:r>
        <w:t xml:space="preserve"> пункта 6 настоящих Правил.</w:t>
      </w:r>
    </w:p>
    <w:p w:rsidR="005C4FD3" w:rsidRDefault="005C4FD3" w:rsidP="005C4FD3">
      <w:pPr>
        <w:pStyle w:val="newncpi"/>
      </w:pPr>
      <w: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w:t>
      </w:r>
      <w:hyperlink w:anchor="a50" w:tooltip="+" w:history="1">
        <w:r>
          <w:rPr>
            <w:rStyle w:val="a3"/>
          </w:rPr>
          <w:t>пункте 6</w:t>
        </w:r>
      </w:hyperlink>
      <w:r>
        <w:t xml:space="preserve"> настоящих Правил.</w:t>
      </w:r>
    </w:p>
    <w:p w:rsidR="005C4FD3" w:rsidRDefault="005C4FD3" w:rsidP="005C4FD3">
      <w:pPr>
        <w:pStyle w:val="point"/>
      </w:pPr>
      <w:bookmarkStart w:id="3" w:name="a142"/>
      <w:bookmarkEnd w:id="3"/>
      <w: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w:t>
      </w:r>
      <w:hyperlink w:anchor="a51" w:tooltip="+" w:history="1">
        <w:r>
          <w:rPr>
            <w:rStyle w:val="a3"/>
          </w:rPr>
          <w:t>пункте 3</w:t>
        </w:r>
      </w:hyperlink>
      <w:r>
        <w:t xml:space="preserve"> настоящих Правил, которые:</w:t>
      </w:r>
    </w:p>
    <w:p w:rsidR="005C4FD3" w:rsidRDefault="005C4FD3" w:rsidP="005C4FD3">
      <w:pPr>
        <w:pStyle w:val="newncpi"/>
      </w:pPr>
      <w:r>
        <w:t xml:space="preserve">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w:t>
      </w:r>
      <w:r>
        <w:lastRenderedPageBreak/>
        <w:t>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rsidR="005C4FD3" w:rsidRDefault="005C4FD3" w:rsidP="005C4FD3">
      <w:pPr>
        <w:pStyle w:val="newncpi"/>
      </w:pPr>
      <w: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rsidR="005C4FD3" w:rsidRDefault="005C4FD3" w:rsidP="005C4FD3">
      <w:pPr>
        <w:pStyle w:val="newncpi"/>
      </w:pPr>
      <w: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5C4FD3" w:rsidRDefault="005C4FD3" w:rsidP="005C4FD3">
      <w:pPr>
        <w:pStyle w:val="newncpi"/>
      </w:pPr>
      <w: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rsidR="005C4FD3" w:rsidRDefault="005C4FD3" w:rsidP="005C4FD3">
      <w:pPr>
        <w:pStyle w:val="newncpi"/>
      </w:pPr>
      <w: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5C4FD3" w:rsidRDefault="005C4FD3" w:rsidP="005C4FD3">
      <w:pPr>
        <w:pStyle w:val="newncpi"/>
      </w:pPr>
      <w:bookmarkStart w:id="4" w:name="a56"/>
      <w:bookmarkEnd w:id="4"/>
      <w: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5C4FD3" w:rsidRDefault="005C4FD3" w:rsidP="005C4FD3">
      <w:pPr>
        <w:pStyle w:val="newncpi"/>
      </w:pPr>
      <w:r>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rsidR="005C4FD3" w:rsidRDefault="005C4FD3" w:rsidP="005C4FD3">
      <w:pPr>
        <w:pStyle w:val="newncpi"/>
      </w:pPr>
      <w: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rsidR="005C4FD3" w:rsidRDefault="005C4FD3" w:rsidP="005C4FD3">
      <w:pPr>
        <w:pStyle w:val="point"/>
      </w:pPr>
      <w:r>
        <w:t>5. В конкурсе на получение среднего специального образования:</w:t>
      </w:r>
    </w:p>
    <w:p w:rsidR="005C4FD3" w:rsidRDefault="005C4FD3" w:rsidP="005C4FD3">
      <w:pPr>
        <w:pStyle w:val="newncpi"/>
      </w:pPr>
      <w: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w:t>
      </w:r>
    </w:p>
    <w:p w:rsidR="005C4FD3" w:rsidRDefault="005C4FD3" w:rsidP="005C4FD3">
      <w:pPr>
        <w:pStyle w:val="newncpi"/>
      </w:pPr>
      <w: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rsidR="005C4FD3" w:rsidRDefault="005C4FD3" w:rsidP="005C4FD3">
      <w:pPr>
        <w:pStyle w:val="newncpi"/>
      </w:pPr>
      <w:r>
        <w:t>по специальности «Физическая культура» вправе участвовать лица, указанные в </w:t>
      </w:r>
      <w:hyperlink w:anchor="a51" w:tooltip="+" w:history="1">
        <w:r>
          <w:rPr>
            <w:rStyle w:val="a3"/>
          </w:rPr>
          <w:t>пункте 3</w:t>
        </w:r>
      </w:hyperlink>
      <w:r>
        <w:t xml:space="preserve"> настоящих Правил, распределяемые в соответствии с медицинской </w:t>
      </w:r>
      <w:hyperlink r:id="rId4" w:anchor="a8" w:tooltip="+" w:history="1">
        <w:r>
          <w:rPr>
            <w:rStyle w:val="a3"/>
          </w:rPr>
          <w:t>справкой</w:t>
        </w:r>
      </w:hyperlink>
      <w:r>
        <w:t xml:space="preserve"> о состоянии здоровья по форме, установленной Министерством здравоохранения, в основную или подготовительную медицинскую группу, а также лица</w:t>
      </w:r>
      <w:hyperlink w:anchor="a86" w:tooltip="+" w:history="1">
        <w:r>
          <w:rPr>
            <w:rStyle w:val="a3"/>
          </w:rPr>
          <w:t>*</w:t>
        </w:r>
      </w:hyperlink>
      <w:r>
        <w:t xml:space="preserve">, имеющие заключение </w:t>
      </w:r>
      <w:hyperlink r:id="rId5" w:anchor="a2" w:tooltip="+" w:history="1">
        <w:r>
          <w:rPr>
            <w:rStyle w:val="a3"/>
          </w:rPr>
          <w:t>врачебно-консультационной</w:t>
        </w:r>
      </w:hyperlink>
      <w:r>
        <w:t xml:space="preserve"> или </w:t>
      </w:r>
      <w:hyperlink r:id="rId6" w:anchor="a51" w:tooltip="+" w:history="1">
        <w:r>
          <w:rPr>
            <w:rStyle w:val="a3"/>
          </w:rPr>
          <w:t>медико-реабилитационной</w:t>
        </w:r>
      </w:hyperlink>
      <w:r>
        <w:t xml:space="preserve"> экспертной комиссии об отсутствии медицинских противопоказаний к обучению по специальности «Физическая культура».</w:t>
      </w:r>
    </w:p>
    <w:p w:rsidR="005C4FD3" w:rsidRDefault="005C4FD3" w:rsidP="005C4FD3">
      <w:pPr>
        <w:pStyle w:val="snoskiline"/>
      </w:pPr>
      <w:r>
        <w:t>______________________________</w:t>
      </w:r>
    </w:p>
    <w:p w:rsidR="005C4FD3" w:rsidRDefault="005C4FD3" w:rsidP="005C4FD3">
      <w:pPr>
        <w:pStyle w:val="snoski"/>
        <w:spacing w:after="240"/>
      </w:pPr>
      <w:bookmarkStart w:id="5" w:name="a86"/>
      <w:bookmarkEnd w:id="5"/>
      <w:r>
        <w:t>* Для лиц с нарушениями зрения, слуха, функций опорно-двигательного аппарата, детей-инвалидов в возрасте до 18 лет, инвалидов I, II или III группы.</w:t>
      </w:r>
    </w:p>
    <w:p w:rsidR="005C4FD3" w:rsidRDefault="005C4FD3" w:rsidP="005C4FD3">
      <w:pPr>
        <w:pStyle w:val="point"/>
      </w:pPr>
      <w:bookmarkStart w:id="6" w:name="a50"/>
      <w:bookmarkEnd w:id="6"/>
      <w:r>
        <w:lastRenderedPageBreak/>
        <w:t>6. Иностранные граждане и лица без гражданства, за исключением лиц, указанных в </w:t>
      </w:r>
      <w:hyperlink w:anchor="a52" w:tooltip="+" w:history="1">
        <w:r>
          <w:rPr>
            <w:rStyle w:val="a3"/>
          </w:rPr>
          <w:t>части второй</w:t>
        </w:r>
      </w:hyperlink>
      <w:r>
        <w:t xml:space="preserve"> настоящего пункта, могут поступать в УССО для получения среднего специального образования:</w:t>
      </w:r>
    </w:p>
    <w:p w:rsidR="005C4FD3" w:rsidRDefault="005C4FD3" w:rsidP="005C4FD3">
      <w:pPr>
        <w:pStyle w:val="newncpi"/>
      </w:pPr>
      <w:r>
        <w:t>за счет средств бюджета или на платной основе – в соответствии с международными договорами Республики Беларусь;</w:t>
      </w:r>
    </w:p>
    <w:p w:rsidR="005C4FD3" w:rsidRDefault="005C4FD3" w:rsidP="005C4FD3">
      <w:pPr>
        <w:pStyle w:val="newncpi"/>
      </w:pPr>
      <w: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rsidR="005C4FD3" w:rsidRDefault="005C4FD3" w:rsidP="005C4FD3">
      <w:pPr>
        <w:pStyle w:val="newncpi"/>
      </w:pPr>
      <w:bookmarkStart w:id="7" w:name="a70"/>
      <w:bookmarkEnd w:id="7"/>
      <w:r>
        <w:t xml:space="preserve">на платной основе – по результатам собеседования в УССО, </w:t>
      </w:r>
      <w:hyperlink r:id="rId7" w:anchor="a2" w:tooltip="+" w:history="1">
        <w:r>
          <w:rPr>
            <w:rStyle w:val="a3"/>
          </w:rPr>
          <w:t>порядок</w:t>
        </w:r>
      </w:hyperlink>
      <w:r>
        <w:t xml:space="preserve">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w:t>
      </w:r>
      <w:hyperlink w:anchor="a69" w:tooltip="+" w:history="1">
        <w:r>
          <w:rPr>
            <w:rStyle w:val="a3"/>
          </w:rPr>
          <w:t>частью седьмой</w:t>
        </w:r>
      </w:hyperlink>
      <w:r>
        <w:t xml:space="preserve"> пункта 16 настоящих Правил.</w:t>
      </w:r>
    </w:p>
    <w:p w:rsidR="005C4FD3" w:rsidRDefault="005C4FD3" w:rsidP="005C4FD3">
      <w:pPr>
        <w:pStyle w:val="newncpi"/>
      </w:pPr>
      <w:bookmarkStart w:id="8" w:name="a52"/>
      <w:bookmarkEnd w:id="8"/>
      <w: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rsidR="005C4FD3" w:rsidRDefault="005C4FD3" w:rsidP="005C4FD3">
      <w:pPr>
        <w:pStyle w:val="newncpi"/>
      </w:pPr>
      <w:r>
        <w:t>Прием иностранных граждан и лиц без гражданства для получения среднего специального образования осуществляется на основе:</w:t>
      </w:r>
    </w:p>
    <w:p w:rsidR="005C4FD3" w:rsidRDefault="005C4FD3" w:rsidP="005C4FD3">
      <w:pPr>
        <w:pStyle w:val="newncpi"/>
      </w:pPr>
      <w:hyperlink r:id="rId8" w:anchor="a68" w:tooltip="+" w:history="1">
        <w:r>
          <w:rPr>
            <w:rStyle w:val="a3"/>
          </w:rPr>
          <w:t>договора</w:t>
        </w:r>
      </w:hyperlink>
      <w:r>
        <w:t xml:space="preserve"> о подготовке специалиста (рабочего) со средним специальным образованием за счет средств бюджета;</w:t>
      </w:r>
    </w:p>
    <w:p w:rsidR="005C4FD3" w:rsidRDefault="005C4FD3" w:rsidP="005C4FD3">
      <w:pPr>
        <w:pStyle w:val="newncpi"/>
      </w:pPr>
      <w:hyperlink r:id="rId9" w:anchor="a71" w:tooltip="+" w:history="1">
        <w:r>
          <w:rPr>
            <w:rStyle w:val="a3"/>
          </w:rPr>
          <w:t>договора</w:t>
        </w:r>
      </w:hyperlink>
      <w:r>
        <w:t xml:space="preserve"> о подготовке специалиста (рабочего) со средним специальным образованием на платной основе;</w:t>
      </w:r>
    </w:p>
    <w:p w:rsidR="005C4FD3" w:rsidRDefault="005C4FD3" w:rsidP="005C4FD3">
      <w:pPr>
        <w:pStyle w:val="newncpi"/>
      </w:pPr>
      <w:hyperlink r:id="rId10" w:anchor="a11" w:tooltip="+" w:history="1">
        <w:r>
          <w:rPr>
            <w:rStyle w:val="a3"/>
          </w:rPr>
          <w:t>договора</w:t>
        </w:r>
      </w:hyperlink>
      <w:r>
        <w:t xml:space="preserve"> о подготовке специалиста (рабочего) со средним специальным образованием за счет грантов на обучение.</w:t>
      </w:r>
    </w:p>
    <w:p w:rsidR="005C4FD3" w:rsidRDefault="005C4FD3" w:rsidP="005C4FD3">
      <w:pPr>
        <w:pStyle w:val="newncpi"/>
      </w:pPr>
      <w:hyperlink r:id="rId11" w:anchor="a71" w:tooltip="+" w:history="1">
        <w:r>
          <w:rPr>
            <w:rStyle w:val="a3"/>
          </w:rPr>
          <w:t>Договор</w:t>
        </w:r>
      </w:hyperlink>
      <w:r>
        <w:t xml:space="preserve">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w:t>
      </w:r>
      <w:hyperlink w:anchor="a53" w:tooltip="+" w:history="1">
        <w:r>
          <w:rPr>
            <w:rStyle w:val="a3"/>
          </w:rPr>
          <w:t>части пятой</w:t>
        </w:r>
      </w:hyperlink>
      <w:r>
        <w:t xml:space="preserve"> настоящего пункта.</w:t>
      </w:r>
    </w:p>
    <w:p w:rsidR="005C4FD3" w:rsidRDefault="005C4FD3" w:rsidP="005C4FD3">
      <w:pPr>
        <w:pStyle w:val="newncpi"/>
      </w:pPr>
      <w:bookmarkStart w:id="9" w:name="a53"/>
      <w:bookmarkEnd w:id="9"/>
      <w: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rsidR="005C4FD3" w:rsidRDefault="005C4FD3" w:rsidP="005C4FD3">
      <w:pPr>
        <w:pStyle w:val="newncpi"/>
      </w:pPr>
      <w:r>
        <w:t>с иностранными гражданами и лицами без гражданства;</w:t>
      </w:r>
    </w:p>
    <w:p w:rsidR="005C4FD3" w:rsidRDefault="005C4FD3" w:rsidP="005C4FD3">
      <w:pPr>
        <w:pStyle w:val="newncpi"/>
      </w:pPr>
      <w:r>
        <w:t>с законными представителями несовершеннолетних иностранных граждан и лиц без гражданства</w:t>
      </w:r>
      <w:hyperlink w:anchor="a87" w:tooltip="+" w:history="1">
        <w:r>
          <w:rPr>
            <w:rStyle w:val="a3"/>
          </w:rPr>
          <w:t>*</w:t>
        </w:r>
      </w:hyperlink>
      <w:r>
        <w:t>;</w:t>
      </w:r>
    </w:p>
    <w:p w:rsidR="005C4FD3" w:rsidRDefault="005C4FD3" w:rsidP="005C4FD3">
      <w:pPr>
        <w:pStyle w:val="newncpi"/>
      </w:pPr>
      <w: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rsidR="005C4FD3" w:rsidRDefault="005C4FD3" w:rsidP="005C4FD3">
      <w:pPr>
        <w:pStyle w:val="snoskiline"/>
      </w:pPr>
      <w:r>
        <w:t>______________________________</w:t>
      </w:r>
    </w:p>
    <w:p w:rsidR="005C4FD3" w:rsidRDefault="005C4FD3" w:rsidP="005C4FD3">
      <w:pPr>
        <w:pStyle w:val="snoski"/>
        <w:spacing w:after="240"/>
      </w:pPr>
      <w:bookmarkStart w:id="10" w:name="a87"/>
      <w:bookmarkEnd w:id="10"/>
      <w: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rsidR="005C4FD3" w:rsidRDefault="005C4FD3" w:rsidP="005C4FD3">
      <w:pPr>
        <w:pStyle w:val="newncpi"/>
      </w:pPr>
      <w:r>
        <w:t>К документам, исполненным на иностранном языке, прилагается удостоверенный нотариально их перевод на белорусский или русский язык.</w:t>
      </w:r>
    </w:p>
    <w:p w:rsidR="005C4FD3" w:rsidRDefault="005C4FD3" w:rsidP="005C4FD3">
      <w:pPr>
        <w:pStyle w:val="newncpi"/>
      </w:pPr>
      <w:r>
        <w:lastRenderedPageBreak/>
        <w:t xml:space="preserve">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w:t>
      </w:r>
      <w:hyperlink r:id="rId12" w:anchor="a2" w:tooltip="+" w:history="1">
        <w:r>
          <w:rPr>
            <w:rStyle w:val="a3"/>
          </w:rPr>
          <w:t>Перечень</w:t>
        </w:r>
      </w:hyperlink>
      <w:r>
        <w:t xml:space="preserve">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5C4FD3" w:rsidRDefault="005C4FD3" w:rsidP="005C4FD3">
      <w:pPr>
        <w:pStyle w:val="newncpi"/>
      </w:pPr>
      <w: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w:t>
      </w:r>
      <w:hyperlink w:anchor="a88" w:tooltip="+" w:history="1">
        <w:r>
          <w:rPr>
            <w:rStyle w:val="a3"/>
          </w:rPr>
          <w:t>*</w:t>
        </w:r>
      </w:hyperlink>
      <w:r>
        <w:t>, оформленных в порядке, установленном законодательством.</w:t>
      </w:r>
    </w:p>
    <w:p w:rsidR="005C4FD3" w:rsidRDefault="005C4FD3" w:rsidP="005C4FD3">
      <w:pPr>
        <w:pStyle w:val="newncpi"/>
      </w:pPr>
      <w: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rsidR="005C4FD3" w:rsidRDefault="005C4FD3" w:rsidP="005C4FD3">
      <w:pPr>
        <w:pStyle w:val="snoskiline"/>
      </w:pPr>
      <w:r>
        <w:t>______________________________</w:t>
      </w:r>
    </w:p>
    <w:p w:rsidR="005C4FD3" w:rsidRDefault="005C4FD3" w:rsidP="005C4FD3">
      <w:pPr>
        <w:pStyle w:val="snoski"/>
        <w:spacing w:after="240"/>
      </w:pPr>
      <w:bookmarkStart w:id="11" w:name="a88"/>
      <w:bookmarkEnd w:id="11"/>
      <w: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rsidR="005C4FD3" w:rsidRDefault="005C4FD3" w:rsidP="005C4FD3">
      <w:pPr>
        <w:pStyle w:val="point"/>
      </w:pPr>
      <w: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rsidR="005C4FD3" w:rsidRDefault="005C4FD3" w:rsidP="005C4FD3">
      <w:pPr>
        <w:pStyle w:val="newncpi"/>
      </w:pPr>
      <w:r>
        <w:t xml:space="preserve">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специальным </w:t>
      </w:r>
      <w:hyperlink r:id="rId13" w:anchor="a373" w:tooltip="+" w:history="1">
        <w:r>
          <w:rPr>
            <w:rStyle w:val="a3"/>
          </w:rPr>
          <w:t>разрешением</w:t>
        </w:r>
      </w:hyperlink>
      <w:r>
        <w:t xml:space="preserve"> (лицензией) на образовательную деятельность.</w:t>
      </w:r>
    </w:p>
    <w:p w:rsidR="005C4FD3" w:rsidRDefault="005C4FD3" w:rsidP="005C4FD3">
      <w:pPr>
        <w:pStyle w:val="newncpi"/>
      </w:pPr>
      <w: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rsidR="005C4FD3" w:rsidRDefault="005C4FD3" w:rsidP="005C4FD3">
      <w:pPr>
        <w:pStyle w:val="newncpi"/>
      </w:pPr>
      <w:r>
        <w:t>По специальностям профиля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5C4FD3" w:rsidRDefault="005C4FD3" w:rsidP="005C4FD3">
      <w:pPr>
        <w:pStyle w:val="newncpi"/>
      </w:pPr>
      <w:r>
        <w:t xml:space="preserve">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w:t>
      </w:r>
      <w:r>
        <w:lastRenderedPageBreak/>
        <w:t>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rsidR="005C4FD3" w:rsidRDefault="005C4FD3" w:rsidP="005C4FD3">
      <w:pPr>
        <w:pStyle w:val="newncpi"/>
      </w:pPr>
      <w: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rsidR="005C4FD3" w:rsidRDefault="005C4FD3" w:rsidP="005C4FD3">
      <w:pPr>
        <w:pStyle w:val="point"/>
      </w:pPr>
      <w: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профиля образования «Здравоохранение» и специальностям направления образования «Сельское хозяйство» – до 60 процентов от контрольных цифр приема, по иным специальностям – до 30 процентов от контрольных цифр приема.</w:t>
      </w:r>
    </w:p>
    <w:p w:rsidR="005C4FD3" w:rsidRDefault="005C4FD3" w:rsidP="005C4FD3">
      <w:pPr>
        <w:pStyle w:val="newncpi"/>
      </w:pPr>
      <w: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rsidR="005C4FD3" w:rsidRDefault="005C4FD3" w:rsidP="005C4FD3">
      <w:pPr>
        <w:pStyle w:val="newncpi"/>
      </w:pPr>
      <w: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rsidR="005C4FD3" w:rsidRDefault="005C4FD3" w:rsidP="005C4FD3">
      <w:pPr>
        <w:pStyle w:val="newncpi"/>
      </w:pPr>
      <w: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5C4FD3" w:rsidRDefault="005C4FD3" w:rsidP="005C4FD3">
      <w:pPr>
        <w:pStyle w:val="newncpi"/>
      </w:pPr>
      <w: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rsidR="005C4FD3" w:rsidRDefault="005C4FD3" w:rsidP="005C4FD3">
      <w:pPr>
        <w:pStyle w:val="point"/>
      </w:pPr>
      <w: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5C4FD3" w:rsidRDefault="005C4FD3" w:rsidP="005C4FD3">
      <w:pPr>
        <w:pStyle w:val="chapter"/>
      </w:pPr>
      <w:bookmarkStart w:id="12" w:name="a103"/>
      <w:bookmarkEnd w:id="12"/>
      <w:r>
        <w:t>ГЛАВА 2</w:t>
      </w:r>
      <w:r>
        <w:br/>
        <w:t>ДОКУМЕНТЫ, ПРЕДСТАВЛЯЕМЫЕ АБИТУРИЕНТАМИ В ПРИЕМНЫЕ КОМИССИИ</w:t>
      </w:r>
    </w:p>
    <w:p w:rsidR="005C4FD3" w:rsidRDefault="005C4FD3" w:rsidP="005C4FD3">
      <w:pPr>
        <w:pStyle w:val="point"/>
      </w:pPr>
      <w:bookmarkStart w:id="13" w:name="a55"/>
      <w:bookmarkEnd w:id="13"/>
      <w: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rsidR="005C4FD3" w:rsidRDefault="005C4FD3" w:rsidP="005C4FD3">
      <w:pPr>
        <w:pStyle w:val="newncpi"/>
      </w:pPr>
      <w:bookmarkStart w:id="14" w:name="a77"/>
      <w:bookmarkEnd w:id="14"/>
      <w:r>
        <w:t xml:space="preserve">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w:t>
      </w:r>
      <w:r>
        <w:lastRenderedPageBreak/>
        <w:t>должностным лицом (далее, если не указано иное, – представители), за исключением абитуриентов, указанных в </w:t>
      </w:r>
      <w:hyperlink w:anchor="a54" w:tooltip="+" w:history="1">
        <w:r>
          <w:rPr>
            <w:rStyle w:val="a3"/>
          </w:rPr>
          <w:t>пункте 11</w:t>
        </w:r>
      </w:hyperlink>
      <w:r>
        <w:t xml:space="preserve"> настоящих Правил, подают в приемную комиссию УССО следующие документы:</w:t>
      </w:r>
    </w:p>
    <w:p w:rsidR="005C4FD3" w:rsidRDefault="005C4FD3" w:rsidP="005C4FD3">
      <w:pPr>
        <w:pStyle w:val="newncpi"/>
      </w:pPr>
      <w:r>
        <w:t>заявление на имя руководителя УССО по форме, установленной Министерством образования;</w:t>
      </w:r>
    </w:p>
    <w:p w:rsidR="005C4FD3" w:rsidRDefault="005C4FD3" w:rsidP="005C4FD3">
      <w:pPr>
        <w:pStyle w:val="newncpi"/>
      </w:pPr>
      <w:r>
        <w:t>оригиналы документа об образовании и приложения к нему;</w:t>
      </w:r>
    </w:p>
    <w:p w:rsidR="005C4FD3" w:rsidRDefault="005C4FD3" w:rsidP="005C4FD3">
      <w:pPr>
        <w:pStyle w:val="newncpi"/>
      </w:pPr>
      <w:r>
        <w:t xml:space="preserve">медицинскую </w:t>
      </w:r>
      <w:hyperlink r:id="rId14" w:anchor="a8" w:tooltip="+" w:history="1">
        <w:r>
          <w:rPr>
            <w:rStyle w:val="a3"/>
          </w:rPr>
          <w:t>справку</w:t>
        </w:r>
      </w:hyperlink>
      <w:r>
        <w:t xml:space="preserve">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rsidR="005C4FD3" w:rsidRDefault="005C4FD3" w:rsidP="005C4FD3">
      <w:pPr>
        <w:pStyle w:val="newncpi"/>
      </w:pPr>
      <w: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w:t>
      </w:r>
      <w:hyperlink w:anchor="a50" w:tooltip="+" w:history="1">
        <w:r>
          <w:rPr>
            <w:rStyle w:val="a3"/>
          </w:rPr>
          <w:t>части первой</w:t>
        </w:r>
      </w:hyperlink>
      <w:r>
        <w:t xml:space="preserve"> пункта 6 настоящих Правил);</w:t>
      </w:r>
    </w:p>
    <w:p w:rsidR="005C4FD3" w:rsidRDefault="005C4FD3" w:rsidP="005C4FD3">
      <w:pPr>
        <w:pStyle w:val="newncpi"/>
      </w:pPr>
      <w:r>
        <w:t>документы, подтверждающие право абитуриента на льготы при зачислении для получения среднего специального образования;</w:t>
      </w:r>
    </w:p>
    <w:p w:rsidR="005C4FD3" w:rsidRDefault="005C4FD3" w:rsidP="005C4FD3">
      <w:pPr>
        <w:pStyle w:val="newncpi"/>
      </w:pPr>
      <w:r>
        <w:t>шесть фотографий размером 3 x 4 см. </w:t>
      </w:r>
    </w:p>
    <w:p w:rsidR="005C4FD3" w:rsidRDefault="005C4FD3" w:rsidP="005C4FD3">
      <w:pPr>
        <w:pStyle w:val="newncpi"/>
      </w:pPr>
      <w:r>
        <w:t>К перечисленным в </w:t>
      </w:r>
      <w:hyperlink w:anchor="a77" w:tooltip="+" w:history="1">
        <w:r>
          <w:rPr>
            <w:rStyle w:val="a3"/>
          </w:rPr>
          <w:t>части второй</w:t>
        </w:r>
      </w:hyperlink>
      <w:r>
        <w:t xml:space="preserve">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5C4FD3" w:rsidRDefault="005C4FD3" w:rsidP="005C4FD3">
      <w:pPr>
        <w:pStyle w:val="point"/>
      </w:pPr>
      <w:bookmarkStart w:id="15" w:name="a54"/>
      <w:bookmarkEnd w:id="15"/>
      <w:r>
        <w:t>11. Абитуриенты из числа иностранных граждан и лиц без гражданства (их представители) подают в приемную комиссию УССО следующие документы:</w:t>
      </w:r>
    </w:p>
    <w:p w:rsidR="005C4FD3" w:rsidRDefault="005C4FD3" w:rsidP="005C4FD3">
      <w:pPr>
        <w:pStyle w:val="newncpi"/>
      </w:pPr>
      <w:r>
        <w:t>заявление на имя руководителя УССО по форме, установленной Министерством образования;</w:t>
      </w:r>
    </w:p>
    <w:p w:rsidR="005C4FD3" w:rsidRDefault="005C4FD3" w:rsidP="005C4FD3">
      <w:pPr>
        <w:pStyle w:val="newncpi"/>
      </w:pPr>
      <w:r>
        <w:t>оригинал свидетельства (документа) об образовании</w:t>
      </w:r>
      <w:hyperlink w:anchor="a89" w:tooltip="+" w:history="1">
        <w:r>
          <w:rPr>
            <w:rStyle w:val="a3"/>
          </w:rPr>
          <w:t>*</w:t>
        </w:r>
      </w:hyperlink>
      <w:r>
        <w:t xml:space="preserve">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5C4FD3" w:rsidRDefault="005C4FD3" w:rsidP="005C4FD3">
      <w:pPr>
        <w:pStyle w:val="newncpi"/>
      </w:pPr>
      <w: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5C4FD3" w:rsidRDefault="005C4FD3" w:rsidP="005C4FD3">
      <w:pPr>
        <w:pStyle w:val="newncpi"/>
      </w:pPr>
      <w:r>
        <w:t>сертификат об отсутствии ВИЧ-инфекции, выданный официальным органом здравоохранения страны, из которой прибыл абитуриент;</w:t>
      </w:r>
    </w:p>
    <w:p w:rsidR="005C4FD3" w:rsidRDefault="005C4FD3" w:rsidP="005C4FD3">
      <w:pPr>
        <w:pStyle w:val="newncpi"/>
      </w:pPr>
      <w:r>
        <w:t xml:space="preserve">оригинал (копию) </w:t>
      </w:r>
      <w:hyperlink r:id="rId15" w:anchor="a7" w:tooltip="+" w:history="1">
        <w:r>
          <w:rPr>
            <w:rStyle w:val="a3"/>
          </w:rPr>
          <w:t>свидетельства</w:t>
        </w:r>
      </w:hyperlink>
      <w:r>
        <w:t xml:space="preserve"> о рождении и (или) иной документ, подтверждающий дату рождения и гражданство (для несовершеннолетних);</w:t>
      </w:r>
    </w:p>
    <w:p w:rsidR="005C4FD3" w:rsidRDefault="005C4FD3" w:rsidP="005C4FD3">
      <w:pPr>
        <w:pStyle w:val="newncpi"/>
      </w:pPr>
      <w:r>
        <w:t>шесть фотографий размером 3 x 4 см;</w:t>
      </w:r>
    </w:p>
    <w:p w:rsidR="005C4FD3" w:rsidRDefault="005C4FD3" w:rsidP="005C4FD3">
      <w:pPr>
        <w:pStyle w:val="newncpi"/>
      </w:pPr>
      <w:hyperlink r:id="rId16" w:anchor="a93" w:tooltip="+" w:history="1">
        <w:r>
          <w:rPr>
            <w:rStyle w:val="a3"/>
          </w:rPr>
          <w:t>свидетельство</w:t>
        </w:r>
      </w:hyperlink>
      <w:r>
        <w:t xml:space="preserve"> об окончании факультета </w:t>
      </w:r>
      <w:proofErr w:type="spellStart"/>
      <w:r>
        <w:t>довузовской</w:t>
      </w:r>
      <w:proofErr w:type="spellEnd"/>
      <w:r>
        <w:t xml:space="preserve"> подготовки, подготовительного отделения, подготовительных курсов УССО (при их окончании).</w:t>
      </w:r>
    </w:p>
    <w:p w:rsidR="005C4FD3" w:rsidRDefault="005C4FD3" w:rsidP="005C4FD3">
      <w:pPr>
        <w:pStyle w:val="newncpi"/>
      </w:pPr>
      <w:r>
        <w:t>К перечисленным в </w:t>
      </w:r>
      <w:hyperlink w:anchor="a54" w:tooltip="+" w:history="1">
        <w:r>
          <w:rPr>
            <w:rStyle w:val="a3"/>
          </w:rPr>
          <w:t>части первой</w:t>
        </w:r>
      </w:hyperlink>
      <w:r>
        <w:t xml:space="preserve">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5C4FD3" w:rsidRDefault="005C4FD3" w:rsidP="005C4FD3">
      <w:pPr>
        <w:pStyle w:val="newncpi"/>
      </w:pPr>
      <w: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rsidR="005C4FD3" w:rsidRDefault="005C4FD3" w:rsidP="005C4FD3">
      <w:pPr>
        <w:pStyle w:val="snoskiline"/>
      </w:pPr>
      <w:r>
        <w:lastRenderedPageBreak/>
        <w:t>______________________________</w:t>
      </w:r>
    </w:p>
    <w:p w:rsidR="005C4FD3" w:rsidRDefault="005C4FD3" w:rsidP="005C4FD3">
      <w:pPr>
        <w:pStyle w:val="snoski"/>
        <w:spacing w:after="240"/>
      </w:pPr>
      <w:bookmarkStart w:id="16" w:name="a89"/>
      <w:bookmarkEnd w:id="16"/>
      <w: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rsidR="005C4FD3" w:rsidRDefault="005C4FD3" w:rsidP="005C4FD3">
      <w:pPr>
        <w:pStyle w:val="point"/>
      </w:pPr>
      <w:r>
        <w:t xml:space="preserve">12. Кроме документов, указанных в пунктах </w:t>
      </w:r>
      <w:hyperlink w:anchor="a55" w:tooltip="+" w:history="1">
        <w:r>
          <w:rPr>
            <w:rStyle w:val="a3"/>
          </w:rPr>
          <w:t>10</w:t>
        </w:r>
      </w:hyperlink>
      <w:r>
        <w:t xml:space="preserve"> и 11 настоящих Правил, в приемную комиссию УССО при необходимости дополнительно представляются:</w:t>
      </w:r>
    </w:p>
    <w:p w:rsidR="005C4FD3" w:rsidRDefault="005C4FD3" w:rsidP="005C4FD3">
      <w:pPr>
        <w:pStyle w:val="newncpi"/>
      </w:pPr>
      <w:r>
        <w:t xml:space="preserve">выписка (копия) из трудовой </w:t>
      </w:r>
      <w:hyperlink r:id="rId17" w:anchor="a17" w:tooltip="+" w:history="1">
        <w:r>
          <w:rPr>
            <w:rStyle w:val="a3"/>
          </w:rPr>
          <w:t>книжки</w:t>
        </w:r>
      </w:hyperlink>
      <w:r>
        <w:t xml:space="preserve">, и (или) копия гражданско-правового договора, и (или) копия </w:t>
      </w:r>
      <w:hyperlink r:id="rId18" w:anchor="a3" w:tooltip="+" w:history="1">
        <w:r>
          <w:rPr>
            <w:rStyle w:val="a3"/>
          </w:rPr>
          <w:t>свидетельства</w:t>
        </w:r>
      </w:hyperlink>
      <w:r>
        <w:t xml:space="preserve">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rsidR="005C4FD3" w:rsidRDefault="005C4FD3" w:rsidP="005C4FD3">
      <w:pPr>
        <w:pStyle w:val="newncpi"/>
      </w:pPr>
      <w:r>
        <w:t xml:space="preserve">заключение </w:t>
      </w:r>
      <w:hyperlink r:id="rId19" w:anchor="a2" w:tooltip="+" w:history="1">
        <w:r>
          <w:rPr>
            <w:rStyle w:val="a3"/>
          </w:rPr>
          <w:t>врачебно-консультационной</w:t>
        </w:r>
      </w:hyperlink>
      <w:r>
        <w:t xml:space="preserve"> или </w:t>
      </w:r>
      <w:hyperlink r:id="rId20" w:anchor="a51" w:tooltip="+" w:history="1">
        <w:r>
          <w:rPr>
            <w:rStyle w:val="a3"/>
          </w:rPr>
          <w:t>медико-реабилитационной</w:t>
        </w:r>
      </w:hyperlink>
      <w:r>
        <w:t xml:space="preserve">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5C4FD3" w:rsidRDefault="005C4FD3" w:rsidP="005C4FD3">
      <w:pPr>
        <w:pStyle w:val="newncpi"/>
      </w:pPr>
      <w:r>
        <w:t xml:space="preserve">заключение государственного центра коррекционно-развивающего обучения и реабилитации или </w:t>
      </w:r>
      <w:hyperlink r:id="rId21" w:anchor="a3" w:tooltip="+" w:history="1">
        <w:r>
          <w:rPr>
            <w:rStyle w:val="a3"/>
          </w:rPr>
          <w:t>справка</w:t>
        </w:r>
      </w:hyperlink>
      <w:r>
        <w:t xml:space="preserve">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5C4FD3" w:rsidRDefault="005C4FD3" w:rsidP="005C4FD3">
      <w:pPr>
        <w:pStyle w:val="newncpi"/>
      </w:pPr>
      <w: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rsidR="005C4FD3" w:rsidRDefault="005C4FD3" w:rsidP="005C4FD3">
      <w:pPr>
        <w:pStyle w:val="newncpi"/>
      </w:pPr>
      <w: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rsidR="005C4FD3" w:rsidRDefault="005C4FD3" w:rsidP="005C4FD3">
      <w:pPr>
        <w:pStyle w:val="newncpi"/>
      </w:pPr>
      <w: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rsidR="005C4FD3" w:rsidRDefault="005C4FD3" w:rsidP="005C4FD3">
      <w:pPr>
        <w:pStyle w:val="newncpi"/>
      </w:pPr>
      <w: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w:t>
      </w:r>
      <w:hyperlink w:anchor="a56" w:tooltip="+" w:history="1">
        <w:r>
          <w:rPr>
            <w:rStyle w:val="a3"/>
          </w:rPr>
          <w:t>абзаце седьмом</w:t>
        </w:r>
      </w:hyperlink>
      <w:r>
        <w:t xml:space="preserve"> части первой пункта 4, абзацах </w:t>
      </w:r>
      <w:hyperlink w:anchor="a57" w:tooltip="+" w:history="1">
        <w:r>
          <w:rPr>
            <w:rStyle w:val="a3"/>
          </w:rPr>
          <w:t>одиннадцатом</w:t>
        </w:r>
      </w:hyperlink>
      <w:r>
        <w:t xml:space="preserve"> и двенадцатом пункта 21, абзацах </w:t>
      </w:r>
      <w:hyperlink w:anchor="a58" w:tooltip="+" w:history="1">
        <w:r>
          <w:rPr>
            <w:rStyle w:val="a3"/>
          </w:rPr>
          <w:t>четырнадцатом</w:t>
        </w:r>
      </w:hyperlink>
      <w:r>
        <w:t xml:space="preserve"> и пятнадцатом пункта 24 настоящих Правил;</w:t>
      </w:r>
    </w:p>
    <w:p w:rsidR="005C4FD3" w:rsidRDefault="005C4FD3" w:rsidP="005C4FD3">
      <w:pPr>
        <w:pStyle w:val="newncpi"/>
      </w:pPr>
      <w: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w:t>
      </w:r>
      <w:hyperlink w:anchor="a59" w:tooltip="+" w:history="1">
        <w:r>
          <w:rPr>
            <w:rStyle w:val="a3"/>
          </w:rPr>
          <w:t>абзаце пятом</w:t>
        </w:r>
      </w:hyperlink>
      <w:r>
        <w:t xml:space="preserve"> пункта 23 настоящих Правил;</w:t>
      </w:r>
    </w:p>
    <w:p w:rsidR="005C4FD3" w:rsidRDefault="005C4FD3" w:rsidP="005C4FD3">
      <w:pPr>
        <w:pStyle w:val="newncpi"/>
      </w:pPr>
      <w: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rsidR="005C4FD3" w:rsidRDefault="005C4FD3" w:rsidP="005C4FD3">
      <w:pPr>
        <w:pStyle w:val="newncpi"/>
      </w:pPr>
      <w:bookmarkStart w:id="17" w:name="a111"/>
      <w:bookmarkEnd w:id="17"/>
      <w: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w:t>
      </w:r>
      <w:hyperlink r:id="rId22" w:anchor="a8" w:tooltip="+" w:history="1">
        <w:r>
          <w:rPr>
            <w:rStyle w:val="a3"/>
          </w:rPr>
          <w:t>форме</w:t>
        </w:r>
      </w:hyperlink>
      <w:r>
        <w:t>,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rsidR="005C4FD3" w:rsidRDefault="005C4FD3" w:rsidP="005C4FD3">
      <w:pPr>
        <w:pStyle w:val="newncpi"/>
      </w:pPr>
      <w:hyperlink r:id="rId23" w:anchor="a9" w:tooltip="+" w:history="1">
        <w:r>
          <w:rPr>
            <w:rStyle w:val="a3"/>
          </w:rPr>
          <w:t>справка</w:t>
        </w:r>
      </w:hyperlink>
      <w:r>
        <w:t xml:space="preserve">,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w:t>
      </w:r>
      <w:hyperlink w:anchor="a60" w:tooltip="+" w:history="1">
        <w:r>
          <w:rPr>
            <w:rStyle w:val="a3"/>
          </w:rPr>
          <w:t>пятом</w:t>
        </w:r>
      </w:hyperlink>
      <w:r>
        <w:t xml:space="preserve"> и шестом пункта 21, </w:t>
      </w:r>
      <w:hyperlink w:anchor="a61" w:tooltip="+" w:history="1">
        <w:r>
          <w:rPr>
            <w:rStyle w:val="a3"/>
          </w:rPr>
          <w:t>абзаце втором</w:t>
        </w:r>
      </w:hyperlink>
      <w:r>
        <w:t xml:space="preserve"> пункта 24 настоящих Правил;</w:t>
      </w:r>
    </w:p>
    <w:p w:rsidR="005C4FD3" w:rsidRDefault="005C4FD3" w:rsidP="005C4FD3">
      <w:pPr>
        <w:pStyle w:val="newncpi"/>
      </w:pPr>
      <w:hyperlink r:id="rId24" w:anchor="a11" w:tooltip="+" w:history="1">
        <w:r>
          <w:rPr>
            <w:rStyle w:val="a3"/>
          </w:rPr>
          <w:t>справка</w:t>
        </w:r>
      </w:hyperlink>
      <w:r>
        <w:t xml:space="preserve">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w:t>
      </w:r>
      <w:hyperlink w:anchor="a62" w:tooltip="+" w:history="1">
        <w:r>
          <w:rPr>
            <w:rStyle w:val="a3"/>
          </w:rPr>
          <w:t>абзаце третьем</w:t>
        </w:r>
      </w:hyperlink>
      <w:r>
        <w:t xml:space="preserve"> пункта 24 настоящих Правил;</w:t>
      </w:r>
    </w:p>
    <w:p w:rsidR="005C4FD3" w:rsidRDefault="005C4FD3" w:rsidP="005C4FD3">
      <w:pPr>
        <w:pStyle w:val="newncpi"/>
      </w:pPr>
      <w:bookmarkStart w:id="18" w:name="a112"/>
      <w:bookmarkEnd w:id="18"/>
      <w:r>
        <w:t xml:space="preserve">медицинская </w:t>
      </w:r>
      <w:hyperlink r:id="rId25" w:anchor="a8" w:tooltip="+" w:history="1">
        <w:r>
          <w:rPr>
            <w:rStyle w:val="a3"/>
          </w:rPr>
          <w:t>справка</w:t>
        </w:r>
      </w:hyperlink>
      <w:r>
        <w:t xml:space="preserve">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w:t>
      </w:r>
      <w:hyperlink r:id="rId26" w:anchor="a9" w:tooltip="+" w:history="1">
        <w:r>
          <w:rPr>
            <w:rStyle w:val="a3"/>
          </w:rPr>
          <w:t>перечень</w:t>
        </w:r>
      </w:hyperlink>
      <w:r>
        <w:t xml:space="preserve">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rsidR="005C4FD3" w:rsidRDefault="005C4FD3" w:rsidP="005C4FD3">
      <w:pPr>
        <w:pStyle w:val="newncpi"/>
      </w:pPr>
      <w: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5C4FD3" w:rsidRDefault="005C4FD3" w:rsidP="005C4FD3">
      <w:pPr>
        <w:pStyle w:val="newncpi"/>
      </w:pPr>
      <w:hyperlink r:id="rId27" w:anchor="a6" w:tooltip="+" w:history="1">
        <w:r>
          <w:rPr>
            <w:rStyle w:val="a3"/>
          </w:rPr>
          <w:t>справка</w:t>
        </w:r>
      </w:hyperlink>
      <w:r>
        <w:t xml:space="preserve">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rsidR="005C4FD3" w:rsidRDefault="005C4FD3" w:rsidP="005C4FD3">
      <w:pPr>
        <w:pStyle w:val="newncpi"/>
      </w:pPr>
      <w:r>
        <w:t>Приемная комиссия вправе дополнительно запросить у абитуриента документы, необходимые для принятия соответствующего решения.</w:t>
      </w:r>
    </w:p>
    <w:p w:rsidR="005C4FD3" w:rsidRDefault="005C4FD3" w:rsidP="005C4FD3">
      <w:pPr>
        <w:pStyle w:val="point"/>
      </w:pPr>
      <w:r>
        <w:t>13. Документы в приемную комиссию УССО подаются абитуриентами либо их представителями.</w:t>
      </w:r>
    </w:p>
    <w:p w:rsidR="005C4FD3" w:rsidRDefault="005C4FD3" w:rsidP="005C4FD3">
      <w:pPr>
        <w:pStyle w:val="newncpi"/>
      </w:pPr>
      <w:r>
        <w:t>В случае подачи документов абитуриентом документ, удостоверяющий личность, предъявляется им лично.</w:t>
      </w:r>
    </w:p>
    <w:p w:rsidR="005C4FD3" w:rsidRDefault="005C4FD3" w:rsidP="005C4FD3">
      <w:pPr>
        <w:pStyle w:val="newncpi"/>
      </w:pPr>
      <w: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5C4FD3" w:rsidRDefault="005C4FD3" w:rsidP="005C4FD3">
      <w:pPr>
        <w:pStyle w:val="point"/>
      </w:pPr>
      <w:r>
        <w:t>14. Сроки приема документов в УССО определяются Министерством образования.</w:t>
      </w:r>
    </w:p>
    <w:p w:rsidR="005C4FD3" w:rsidRDefault="005C4FD3" w:rsidP="005C4FD3">
      <w:pPr>
        <w:pStyle w:val="chapter"/>
      </w:pPr>
      <w:bookmarkStart w:id="19" w:name="a104"/>
      <w:bookmarkEnd w:id="19"/>
      <w:r>
        <w:t>ГЛАВА 3</w:t>
      </w:r>
      <w:r>
        <w:br/>
        <w:t>ВСТУПИТЕЛЬНЫЕ ИСПЫТАНИЯ</w:t>
      </w:r>
    </w:p>
    <w:p w:rsidR="005C4FD3" w:rsidRDefault="005C4FD3" w:rsidP="005C4FD3">
      <w:pPr>
        <w:pStyle w:val="point"/>
      </w:pPr>
      <w:r>
        <w:t>15. Сроки проведения вступительных испытаний определяются Министерством образования.</w:t>
      </w:r>
    </w:p>
    <w:p w:rsidR="005C4FD3" w:rsidRDefault="005C4FD3" w:rsidP="005C4FD3">
      <w:pPr>
        <w:pStyle w:val="point"/>
      </w:pPr>
      <w: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w:t>
      </w:r>
      <w:hyperlink w:anchor="a71" w:tooltip="+" w:history="1">
        <w:r>
          <w:rPr>
            <w:rStyle w:val="a3"/>
          </w:rPr>
          <w:t>части второй</w:t>
        </w:r>
      </w:hyperlink>
      <w:r>
        <w:t xml:space="preserve">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rsidR="005C4FD3" w:rsidRDefault="005C4FD3" w:rsidP="005C4FD3">
      <w:pPr>
        <w:pStyle w:val="newncpi"/>
      </w:pPr>
      <w:bookmarkStart w:id="20" w:name="a71"/>
      <w:bookmarkEnd w:id="20"/>
      <w:r>
        <w:t>Абитуриенты, поступающие для получения среднего специального образования на творческие специальности</w:t>
      </w:r>
      <w:hyperlink w:anchor="a90" w:tooltip="+" w:history="1">
        <w:r>
          <w:rPr>
            <w:rStyle w:val="a3"/>
          </w:rPr>
          <w:t>*</w:t>
        </w:r>
      </w:hyperlink>
      <w:r>
        <w:t>, специальности «Спортивно-педагогическая деятельность», «Физическая культура», сдают вступительное испытание по форме, которая определяется УССО.</w:t>
      </w:r>
    </w:p>
    <w:p w:rsidR="005C4FD3" w:rsidRDefault="005C4FD3" w:rsidP="005C4FD3">
      <w:pPr>
        <w:pStyle w:val="newncpi"/>
      </w:pPr>
      <w:r>
        <w:lastRenderedPageBreak/>
        <w:t>Абитуриенты вправе сдавать вступительное испытание на белорусском или русском языке (по выбору абитуриента).</w:t>
      </w:r>
    </w:p>
    <w:p w:rsidR="005C4FD3" w:rsidRDefault="005C4FD3" w:rsidP="005C4FD3">
      <w:pPr>
        <w:pStyle w:val="newncpi"/>
      </w:pPr>
      <w:r>
        <w:t>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«Спортивно-педагогическая деятельность», «Физическая культура»),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rsidR="005C4FD3" w:rsidRDefault="005C4FD3" w:rsidP="005C4FD3">
      <w:pPr>
        <w:pStyle w:val="newncpi"/>
      </w:pPr>
      <w: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bookmarkStart w:id="21" w:name="a123"/>
    <w:bookmarkEnd w:id="21"/>
    <w:p w:rsidR="005C4FD3" w:rsidRDefault="005C4FD3" w:rsidP="005C4FD3">
      <w:pPr>
        <w:pStyle w:val="newncpi"/>
      </w:pPr>
      <w:r>
        <w:fldChar w:fldCharType="begin"/>
      </w:r>
      <w:r>
        <w:instrText xml:space="preserve"> HYPERLINK "tx.dll?d=305581&amp;a=10" \l "a10" \o "+" </w:instrText>
      </w:r>
      <w:r>
        <w:fldChar w:fldCharType="separate"/>
      </w:r>
      <w:r>
        <w:rPr>
          <w:rStyle w:val="a3"/>
        </w:rPr>
        <w:t>Перечень</w:t>
      </w:r>
      <w:r>
        <w:fldChar w:fldCharType="end"/>
      </w:r>
      <w:r>
        <w:t xml:space="preserve">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rsidR="005C4FD3" w:rsidRDefault="005C4FD3" w:rsidP="005C4FD3">
      <w:pPr>
        <w:pStyle w:val="newncpi"/>
      </w:pPr>
      <w:bookmarkStart w:id="22" w:name="a69"/>
      <w:bookmarkEnd w:id="22"/>
      <w:r>
        <w:t>Иностранные граждане и лица без гражданства, поступающие в соответствии с </w:t>
      </w:r>
      <w:hyperlink w:anchor="a70" w:tooltip="+" w:history="1">
        <w:r>
          <w:rPr>
            <w:rStyle w:val="a3"/>
          </w:rPr>
          <w:t>абзацем четвертым</w:t>
        </w:r>
      </w:hyperlink>
      <w:r>
        <w:t xml:space="preserve">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«Физическая культура».</w:t>
      </w:r>
    </w:p>
    <w:p w:rsidR="005C4FD3" w:rsidRDefault="005C4FD3" w:rsidP="005C4FD3">
      <w:pPr>
        <w:pStyle w:val="snoskiline"/>
      </w:pPr>
      <w:r>
        <w:t>______________________________</w:t>
      </w:r>
    </w:p>
    <w:p w:rsidR="005C4FD3" w:rsidRDefault="005C4FD3" w:rsidP="005C4FD3">
      <w:pPr>
        <w:pStyle w:val="snoski"/>
        <w:spacing w:after="240"/>
      </w:pPr>
      <w:bookmarkStart w:id="23" w:name="a90"/>
      <w:bookmarkEnd w:id="23"/>
      <w:r>
        <w:t>* Для целей настоящих Правил под творческими специальностями понимаются специальности профиля образования «Искусство и дизайн», группы специальностей «Эстетическое развитие», специальности «Музыковедение», «Архитектура», «Парикмахерское искусство и декоративная косметика (по направлениям)», «Конструирование и технология швейных изделий (по направлениям)» (направления специальности «Конструирование и технология швейных изделий (моделирование и конструирование)», «Конструирование и технология швейных изделий (моделирование, конструирование и технологическое обеспечение)»), «Моделирование и конструирование обуви и кожгалантерейных изделий».</w:t>
      </w:r>
    </w:p>
    <w:p w:rsidR="005C4FD3" w:rsidRDefault="005C4FD3" w:rsidP="005C4FD3">
      <w:pPr>
        <w:pStyle w:val="point"/>
      </w:pPr>
      <w:r>
        <w:t>17. Программы вступительных испытаний для абитуриентов, поступающих в соответствии с </w:t>
      </w:r>
      <w:hyperlink w:anchor="a71" w:tooltip="+" w:history="1">
        <w:r>
          <w:rPr>
            <w:rStyle w:val="a3"/>
          </w:rPr>
          <w:t>частью второй</w:t>
        </w:r>
      </w:hyperlink>
      <w:r>
        <w:t xml:space="preserve"> пункта 16 настоящих Правил, разрабатываются и утверждаются Министерством образования по всем специальностям, кроме специальностей профиля образования «Искусство и дизайн», специальности «Спортивно-педагогическая деятельность». По специальностям профиля образования «Искусство и дизайн» программы вступительных испытаний утверждаются Министерством культуры, по специальности «Спортивно-педагогическая деятельность» – Министерством спорта и туризма.</w:t>
      </w:r>
    </w:p>
    <w:p w:rsidR="005C4FD3" w:rsidRDefault="005C4FD3" w:rsidP="005C4FD3">
      <w:pPr>
        <w:pStyle w:val="point"/>
      </w:pPr>
      <w: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rsidR="005C4FD3" w:rsidRDefault="005C4FD3" w:rsidP="005C4FD3">
      <w:pPr>
        <w:pStyle w:val="newncpi"/>
      </w:pPr>
      <w:r>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rsidR="005C4FD3" w:rsidRDefault="005C4FD3" w:rsidP="005C4FD3">
      <w:pPr>
        <w:pStyle w:val="newncpi"/>
      </w:pPr>
      <w:bookmarkStart w:id="24" w:name="a113"/>
      <w:bookmarkEnd w:id="24"/>
      <w:r>
        <w:t xml:space="preserve">Абитуриентам, поступающим на специальность «Спортивно-педагогическая деятельность»,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w:t>
      </w:r>
      <w:hyperlink r:id="rId28" w:anchor="a7" w:tooltip="+" w:history="1">
        <w:r>
          <w:rPr>
            <w:rStyle w:val="a3"/>
          </w:rPr>
          <w:t>Шкала</w:t>
        </w:r>
      </w:hyperlink>
      <w:r>
        <w:t xml:space="preserve"> соответствия результатов спортивных соревнований баллам, принятым в качестве отметок, полученных на вступительных </w:t>
      </w:r>
      <w:r>
        <w:lastRenderedPageBreak/>
        <w:t>испытаниях «Спортивно-педагогическая деятельность», устанавливается Министерством спорта и туризма.</w:t>
      </w:r>
    </w:p>
    <w:p w:rsidR="005C4FD3" w:rsidRDefault="005C4FD3" w:rsidP="005C4FD3">
      <w:pPr>
        <w:pStyle w:val="point"/>
      </w:pPr>
      <w:r>
        <w:t>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rsidR="005C4FD3" w:rsidRDefault="005C4FD3" w:rsidP="005C4FD3">
      <w:pPr>
        <w:pStyle w:val="newncpi"/>
      </w:pPr>
      <w: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rsidR="005C4FD3" w:rsidRDefault="005C4FD3" w:rsidP="005C4FD3">
      <w:pPr>
        <w:pStyle w:val="point"/>
      </w:pPr>
      <w:r>
        <w:t xml:space="preserve">20. Абитуриенты из числа иностранных граждан и лиц без гражданства, не имеющие </w:t>
      </w:r>
      <w:hyperlink r:id="rId29" w:anchor="a93" w:tooltip="+" w:history="1">
        <w:r>
          <w:rPr>
            <w:rStyle w:val="a3"/>
          </w:rPr>
          <w:t>свидетельств</w:t>
        </w:r>
      </w:hyperlink>
      <w:r>
        <w:t xml:space="preserve"> об окончании факультетов </w:t>
      </w:r>
      <w:proofErr w:type="spellStart"/>
      <w:r>
        <w:t>довузовской</w:t>
      </w:r>
      <w:proofErr w:type="spellEnd"/>
      <w:r>
        <w:t xml:space="preserve">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rsidR="005C4FD3" w:rsidRDefault="005C4FD3" w:rsidP="005C4FD3">
      <w:pPr>
        <w:pStyle w:val="chapter"/>
      </w:pPr>
      <w:bookmarkStart w:id="25" w:name="a105"/>
      <w:bookmarkEnd w:id="25"/>
      <w:r>
        <w:t>ГЛАВА 4</w:t>
      </w:r>
      <w:r>
        <w:br/>
        <w:t>ЛИЦА, ИМЕЮЩИЕ ПРАВО НА ЛЬГОТЫ ПРИ ЗАЧИСЛЕНИИ В УССО</w:t>
      </w:r>
    </w:p>
    <w:p w:rsidR="005C4FD3" w:rsidRDefault="005C4FD3" w:rsidP="005C4FD3">
      <w:pPr>
        <w:pStyle w:val="point"/>
      </w:pPr>
      <w:bookmarkStart w:id="26" w:name="a72"/>
      <w:bookmarkEnd w:id="26"/>
      <w:r>
        <w:t>21. Вне конкурса в порядке перечисления зачисляются:</w:t>
      </w:r>
    </w:p>
    <w:p w:rsidR="005C4FD3" w:rsidRDefault="005C4FD3" w:rsidP="005C4FD3">
      <w:pPr>
        <w:pStyle w:val="newncpi"/>
      </w:pPr>
      <w: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rsidR="005C4FD3" w:rsidRDefault="005C4FD3" w:rsidP="005C4FD3">
      <w:pPr>
        <w:pStyle w:val="newncpi"/>
      </w:pPr>
      <w: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«Техника и технологии»;</w:t>
      </w:r>
    </w:p>
    <w:p w:rsidR="005C4FD3" w:rsidRDefault="005C4FD3" w:rsidP="005C4FD3">
      <w:pPr>
        <w:pStyle w:val="newncpi"/>
      </w:pPr>
      <w:bookmarkStart w:id="27" w:name="a110"/>
      <w:bookmarkEnd w:id="27"/>
      <w:r>
        <w:t>победители (Гран-при, дипломы I, II или III степени) международных (в соответствии с </w:t>
      </w:r>
      <w:hyperlink r:id="rId30" w:anchor="a5" w:tooltip="+" w:history="1">
        <w:r>
          <w:rPr>
            <w:rStyle w:val="a3"/>
          </w:rPr>
          <w:t>перечнем</w:t>
        </w:r>
      </w:hyperlink>
      <w:r>
        <w:t>,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профиля образования «Искусство и дизайн», соответствующие номинациям творческих конкурсов и фестивалей, олимпиад в сфере культуры;</w:t>
      </w:r>
    </w:p>
    <w:p w:rsidR="005C4FD3" w:rsidRDefault="005C4FD3" w:rsidP="005C4FD3">
      <w:pPr>
        <w:pStyle w:val="newncpi"/>
      </w:pPr>
      <w:bookmarkStart w:id="28" w:name="a60"/>
      <w:bookmarkEnd w:id="28"/>
      <w: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«Физическая культура»;</w:t>
      </w:r>
    </w:p>
    <w:p w:rsidR="005C4FD3" w:rsidRDefault="005C4FD3" w:rsidP="005C4FD3">
      <w:pPr>
        <w:pStyle w:val="newncpi"/>
      </w:pPr>
      <w:r>
        <w:t xml:space="preserve">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w:t>
      </w:r>
      <w:r>
        <w:lastRenderedPageBreak/>
        <w:t>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«Спортивно-педагогическая деятельность»;</w:t>
      </w:r>
    </w:p>
    <w:p w:rsidR="005C4FD3" w:rsidRDefault="005C4FD3" w:rsidP="005C4FD3">
      <w:pPr>
        <w:pStyle w:val="newncpi"/>
      </w:pPr>
      <w:r>
        <w:t>лица, награжденные в год приема или в течение двух лет, предшествующих году приема,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Прэзiдэнта</w:t>
      </w:r>
      <w:proofErr w:type="spellEnd"/>
      <w:r>
        <w:t xml:space="preserve"> </w:t>
      </w:r>
      <w:proofErr w:type="spellStart"/>
      <w:r>
        <w:t>Рэспублiкi</w:t>
      </w:r>
      <w:proofErr w:type="spellEnd"/>
      <w:r>
        <w:t xml:space="preserve"> Беларусь па </w:t>
      </w:r>
      <w:proofErr w:type="spellStart"/>
      <w:r>
        <w:t>падтрымцы</w:t>
      </w:r>
      <w:proofErr w:type="spellEnd"/>
      <w:r>
        <w:t xml:space="preserve"> </w:t>
      </w:r>
      <w:proofErr w:type="spellStart"/>
      <w:r>
        <w:t>таленавiтай</w:t>
      </w:r>
      <w:proofErr w:type="spellEnd"/>
      <w:r>
        <w:t xml:space="preserve"> </w:t>
      </w:r>
      <w:proofErr w:type="spellStart"/>
      <w:r>
        <w:t>моладзi</w:t>
      </w:r>
      <w:proofErr w:type="spellEnd"/>
      <w:r>
        <w:t>» за творческие достижения в сфере культуры, соответствующие избранной специальности;</w:t>
      </w:r>
    </w:p>
    <w:p w:rsidR="005C4FD3" w:rsidRDefault="005C4FD3" w:rsidP="005C4FD3">
      <w:pPr>
        <w:pStyle w:val="newncpi"/>
      </w:pPr>
      <w:r>
        <w:t>лица, награжденные в год приема или в течение двух лет, предшествующих году приема,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Прэзiдэнта</w:t>
      </w:r>
      <w:proofErr w:type="spellEnd"/>
      <w:r>
        <w:t xml:space="preserve"> </w:t>
      </w:r>
      <w:proofErr w:type="spellStart"/>
      <w:r>
        <w:t>Рэспублiкi</w:t>
      </w:r>
      <w:proofErr w:type="spellEnd"/>
      <w:r>
        <w:t xml:space="preserve"> Беларусь па </w:t>
      </w:r>
      <w:proofErr w:type="spellStart"/>
      <w:r>
        <w:t>сацыяльнай</w:t>
      </w:r>
      <w:proofErr w:type="spellEnd"/>
      <w:r>
        <w:t xml:space="preserve"> </w:t>
      </w:r>
      <w:proofErr w:type="spellStart"/>
      <w:r>
        <w:t>падтрымцы</w:t>
      </w:r>
      <w:proofErr w:type="spellEnd"/>
      <w:r>
        <w:t xml:space="preserve"> </w:t>
      </w:r>
      <w:proofErr w:type="spellStart"/>
      <w:r>
        <w:t>здольных</w:t>
      </w:r>
      <w:proofErr w:type="spellEnd"/>
      <w:r>
        <w:t xml:space="preserve"> </w:t>
      </w:r>
      <w:proofErr w:type="spellStart"/>
      <w:r>
        <w:t>навучэнцаў</w:t>
      </w:r>
      <w:proofErr w:type="spellEnd"/>
      <w:r>
        <w:t xml:space="preserve"> i </w:t>
      </w:r>
      <w:proofErr w:type="spellStart"/>
      <w:r>
        <w:t>студэнтаў</w:t>
      </w:r>
      <w:proofErr w:type="spellEnd"/>
      <w:r>
        <w:t>» за высокие достижения в отдельных предметных сферах, соответствующих избранному профилю (направлению) образования;</w:t>
      </w:r>
    </w:p>
    <w:p w:rsidR="005C4FD3" w:rsidRDefault="005C4FD3" w:rsidP="005C4FD3">
      <w:pPr>
        <w:pStyle w:val="newncpi"/>
      </w:pPr>
      <w: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rsidR="005C4FD3" w:rsidRDefault="005C4FD3" w:rsidP="005C4FD3">
      <w:pPr>
        <w:pStyle w:val="newncpi"/>
      </w:pPr>
      <w:r>
        <w:t xml:space="preserve">лица, имеющие </w:t>
      </w:r>
      <w:hyperlink r:id="rId31" w:anchor="a71" w:tooltip="+" w:history="1">
        <w:r>
          <w:rPr>
            <w:rStyle w:val="a3"/>
          </w:rPr>
          <w:t>диплом</w:t>
        </w:r>
      </w:hyperlink>
      <w:r>
        <w:t xml:space="preserve">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rsidR="005C4FD3" w:rsidRDefault="005C4FD3" w:rsidP="005C4FD3">
      <w:pPr>
        <w:pStyle w:val="newncpi"/>
      </w:pPr>
      <w:bookmarkStart w:id="29" w:name="a57"/>
      <w:bookmarkEnd w:id="29"/>
      <w: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5C4FD3" w:rsidRDefault="005C4FD3" w:rsidP="005C4FD3">
      <w:pPr>
        <w:pStyle w:val="newncpi"/>
      </w:pPr>
      <w:bookmarkStart w:id="30" w:name="a223"/>
      <w:bookmarkEnd w:id="30"/>
      <w:r>
        <w:t xml:space="preserve">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w:t>
      </w:r>
      <w:hyperlink r:id="rId32" w:anchor="a8" w:tooltip="+" w:history="1">
        <w:r>
          <w:rPr>
            <w:rStyle w:val="a3"/>
          </w:rPr>
          <w:t>Перечень</w:t>
        </w:r>
      </w:hyperlink>
      <w:r>
        <w:t xml:space="preserve">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rsidR="005C4FD3" w:rsidRDefault="005C4FD3" w:rsidP="005C4FD3">
      <w:pPr>
        <w:pStyle w:val="newncpi"/>
      </w:pPr>
      <w: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5C4FD3" w:rsidRDefault="005C4FD3" w:rsidP="005C4FD3">
      <w:pPr>
        <w:pStyle w:val="newncpi"/>
      </w:pPr>
      <w: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rsidR="005C4FD3" w:rsidRDefault="005C4FD3" w:rsidP="005C4FD3">
      <w:pPr>
        <w:pStyle w:val="newncpi"/>
      </w:pPr>
      <w:r>
        <w:t xml:space="preserve">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w:t>
      </w:r>
      <w:r>
        <w:lastRenderedPageBreak/>
        <w:t>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rsidR="005C4FD3" w:rsidRDefault="005C4FD3" w:rsidP="005C4FD3">
      <w:pPr>
        <w:pStyle w:val="newncpi"/>
      </w:pPr>
      <w:r>
        <w:t>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5C4FD3" w:rsidRDefault="005C4FD3" w:rsidP="005C4FD3">
      <w:pPr>
        <w:pStyle w:val="point"/>
      </w:pPr>
      <w:r>
        <w:t>22. В случае, если перечисленные в </w:t>
      </w:r>
      <w:hyperlink w:anchor="a72" w:tooltip="+" w:history="1">
        <w:r>
          <w:rPr>
            <w:rStyle w:val="a3"/>
          </w:rPr>
          <w:t>пункте 21</w:t>
        </w:r>
      </w:hyperlink>
      <w:r>
        <w:t xml:space="preserve"> настоящих Правил мероприятия в учебном году не проводились, абитуриентам засчитываются их результаты предыдущего учебного года.</w:t>
      </w:r>
    </w:p>
    <w:p w:rsidR="005C4FD3" w:rsidRDefault="005C4FD3" w:rsidP="005C4FD3">
      <w:pPr>
        <w:pStyle w:val="point"/>
      </w:pPr>
      <w:bookmarkStart w:id="31" w:name="a63"/>
      <w:bookmarkEnd w:id="31"/>
      <w:r>
        <w:t xml:space="preserve">23. На места, оставшиеся после зачисления абитуриентов на основании </w:t>
      </w:r>
      <w:hyperlink w:anchor="a72" w:tooltip="+" w:history="1">
        <w:r>
          <w:rPr>
            <w:rStyle w:val="a3"/>
          </w:rPr>
          <w:t>пункта 21</w:t>
        </w:r>
      </w:hyperlink>
      <w:r>
        <w:t xml:space="preserve"> настоящих Правил, вне конкурса (кроме специальности «Спортивно-педагогическая деятельность»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rsidR="005C4FD3" w:rsidRDefault="005C4FD3" w:rsidP="005C4FD3">
      <w:pPr>
        <w:pStyle w:val="newncpi"/>
      </w:pPr>
      <w:r>
        <w:t>дети-сироты и дети, оставшиеся без попечения родителей, а также лица из числа детей-сирот и детей, оставшихся без попечения родителей;</w:t>
      </w:r>
    </w:p>
    <w:p w:rsidR="005C4FD3" w:rsidRDefault="005C4FD3" w:rsidP="005C4FD3">
      <w:pPr>
        <w:pStyle w:val="newncpi"/>
      </w:pPr>
      <w: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rsidR="005C4FD3" w:rsidRDefault="005C4FD3" w:rsidP="005C4FD3">
      <w:pPr>
        <w:pStyle w:val="newncpi"/>
      </w:pPr>
      <w: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rsidR="005C4FD3" w:rsidRDefault="005C4FD3" w:rsidP="005C4FD3">
      <w:pPr>
        <w:pStyle w:val="newncpi"/>
      </w:pPr>
      <w:bookmarkStart w:id="32" w:name="a59"/>
      <w:bookmarkEnd w:id="32"/>
      <w: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rsidR="005C4FD3" w:rsidRDefault="005C4FD3" w:rsidP="005C4FD3">
      <w:pPr>
        <w:pStyle w:val="newncpi"/>
      </w:pPr>
      <w: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5C4FD3" w:rsidRDefault="005C4FD3" w:rsidP="005C4FD3">
      <w:pPr>
        <w:pStyle w:val="point"/>
      </w:pPr>
      <w:bookmarkStart w:id="33" w:name="a134"/>
      <w:bookmarkEnd w:id="33"/>
      <w: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rsidR="005C4FD3" w:rsidRDefault="005C4FD3" w:rsidP="005C4FD3">
      <w:pPr>
        <w:pStyle w:val="newncpi"/>
      </w:pPr>
      <w:bookmarkStart w:id="34" w:name="a61"/>
      <w:bookmarkEnd w:id="34"/>
      <w: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«Спортивно-педагогическая деятельность»;</w:t>
      </w:r>
    </w:p>
    <w:p w:rsidR="005C4FD3" w:rsidRDefault="005C4FD3" w:rsidP="005C4FD3">
      <w:pPr>
        <w:pStyle w:val="newncpi"/>
      </w:pPr>
      <w:bookmarkStart w:id="35" w:name="a62"/>
      <w:bookmarkEnd w:id="35"/>
      <w:r>
        <w:lastRenderedPageBreak/>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«Спортивно-педагогическая деятельность»;</w:t>
      </w:r>
    </w:p>
    <w:p w:rsidR="005C4FD3" w:rsidRDefault="005C4FD3" w:rsidP="005C4FD3">
      <w:pPr>
        <w:pStyle w:val="newncpi"/>
      </w:pPr>
      <w:r>
        <w:t>лица, указанные в </w:t>
      </w:r>
      <w:hyperlink w:anchor="a63" w:tooltip="+" w:history="1">
        <w:r>
          <w:rPr>
            <w:rStyle w:val="a3"/>
          </w:rPr>
          <w:t>пункте 23</w:t>
        </w:r>
      </w:hyperlink>
      <w:r>
        <w:t xml:space="preserve">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rsidR="005C4FD3" w:rsidRDefault="005C4FD3" w:rsidP="005C4FD3">
      <w:pPr>
        <w:pStyle w:val="newncpi"/>
      </w:pPr>
      <w:r>
        <w:t xml:space="preserve">инвалиды I или II группы, дети-инвалиды в возрасте до 18 лет, представившие при приеме документов соответствующее удостоверение и заключение </w:t>
      </w:r>
      <w:hyperlink r:id="rId33" w:anchor="a2" w:tooltip="+" w:history="1">
        <w:r>
          <w:rPr>
            <w:rStyle w:val="a3"/>
          </w:rPr>
          <w:t>врачебно-консультационной</w:t>
        </w:r>
      </w:hyperlink>
      <w:r>
        <w:t xml:space="preserve"> комиссии или </w:t>
      </w:r>
      <w:hyperlink r:id="rId34" w:anchor="a51" w:tooltip="+" w:history="1">
        <w:r>
          <w:rPr>
            <w:rStyle w:val="a3"/>
          </w:rPr>
          <w:t>медико-реабилитационной</w:t>
        </w:r>
      </w:hyperlink>
      <w:r>
        <w:t xml:space="preserve"> экспертной комиссии об отсутствии медицинских противопоказаний к обучению по избранной специальности;</w:t>
      </w:r>
    </w:p>
    <w:p w:rsidR="005C4FD3" w:rsidRDefault="005C4FD3" w:rsidP="005C4FD3">
      <w:pPr>
        <w:pStyle w:val="newncpi"/>
      </w:pPr>
      <w: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rsidR="005C4FD3" w:rsidRDefault="005C4FD3" w:rsidP="005C4FD3">
      <w:pPr>
        <w:pStyle w:val="newncpi"/>
      </w:pPr>
      <w: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5C4FD3" w:rsidRDefault="005C4FD3" w:rsidP="005C4FD3">
      <w:pPr>
        <w:pStyle w:val="newncpi"/>
      </w:pPr>
      <w: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5C4FD3" w:rsidRDefault="005C4FD3" w:rsidP="005C4FD3">
      <w:pPr>
        <w:pStyle w:val="newncpi"/>
      </w:pPr>
      <w: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rsidR="005C4FD3" w:rsidRDefault="005C4FD3" w:rsidP="005C4FD3">
      <w:pPr>
        <w:pStyle w:val="newncpi"/>
      </w:pPr>
      <w:r>
        <w:t>лица, имеющие льготы в соответствии с </w:t>
      </w:r>
      <w:hyperlink r:id="rId35" w:anchor="a184" w:tooltip="+" w:history="1">
        <w:r>
          <w:rPr>
            <w:rStyle w:val="a3"/>
          </w:rPr>
          <w:t>подпунктом 7.1</w:t>
        </w:r>
      </w:hyperlink>
      <w:r>
        <w:t xml:space="preserve">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5C4FD3" w:rsidRDefault="005C4FD3" w:rsidP="005C4FD3">
      <w:pPr>
        <w:pStyle w:val="newncpi"/>
      </w:pPr>
      <w:r>
        <w:t>инвалиды III группы;</w:t>
      </w:r>
    </w:p>
    <w:p w:rsidR="005C4FD3" w:rsidRDefault="005C4FD3" w:rsidP="005C4FD3">
      <w:pPr>
        <w:pStyle w:val="newncpi"/>
      </w:pPr>
      <w:r>
        <w:t>лица, имеющие льготы в соответствии с </w:t>
      </w:r>
      <w:hyperlink r:id="rId36" w:anchor="a185" w:tooltip="+" w:history="1">
        <w:r>
          <w:rPr>
            <w:rStyle w:val="a3"/>
          </w:rPr>
          <w:t>подпунктом 2.2</w:t>
        </w:r>
      </w:hyperlink>
      <w:r>
        <w:t xml:space="preserve"> пункта 2 статьи 19, </w:t>
      </w:r>
      <w:hyperlink r:id="rId37" w:anchor="a186" w:tooltip="+" w:history="1">
        <w:r>
          <w:rPr>
            <w:rStyle w:val="a3"/>
          </w:rPr>
          <w:t>подпунктом 2.2</w:t>
        </w:r>
      </w:hyperlink>
      <w:r>
        <w:t xml:space="preserve"> пункта 2 статьи 20, </w:t>
      </w:r>
      <w:hyperlink r:id="rId38" w:anchor="a187" w:tooltip="+" w:history="1">
        <w:r>
          <w:rPr>
            <w:rStyle w:val="a3"/>
          </w:rPr>
          <w:t>подпунктом 1.3</w:t>
        </w:r>
      </w:hyperlink>
      <w:r>
        <w:t xml:space="preserve"> пункта 1 статьи 21, </w:t>
      </w:r>
      <w:hyperlink r:id="rId39" w:anchor="a188" w:tooltip="+" w:history="1">
        <w:r>
          <w:rPr>
            <w:rStyle w:val="a3"/>
          </w:rPr>
          <w:t>подпунктом 1.3</w:t>
        </w:r>
      </w:hyperlink>
      <w:r>
        <w:t xml:space="preserve"> пункта 1 статьи 22, </w:t>
      </w:r>
      <w:hyperlink r:id="rId40" w:anchor="a189" w:tooltip="+" w:history="1">
        <w:r>
          <w:rPr>
            <w:rStyle w:val="a3"/>
          </w:rPr>
          <w:t>подпунктом 1.2</w:t>
        </w:r>
      </w:hyperlink>
      <w:r>
        <w:t xml:space="preserve">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rsidR="005C4FD3" w:rsidRDefault="005C4FD3" w:rsidP="005C4FD3">
      <w:pPr>
        <w:pStyle w:val="newncpi"/>
      </w:pPr>
      <w:bookmarkStart w:id="36" w:name="a133"/>
      <w:bookmarkEnd w:id="36"/>
      <w:r>
        <w:t>лица, являющиеся членами многодетных семей;</w:t>
      </w:r>
    </w:p>
    <w:p w:rsidR="005C4FD3" w:rsidRDefault="005C4FD3" w:rsidP="005C4FD3">
      <w:pPr>
        <w:pStyle w:val="newncpi"/>
      </w:pPr>
      <w:bookmarkStart w:id="37" w:name="a58"/>
      <w:bookmarkEnd w:id="37"/>
      <w: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5C4FD3" w:rsidRDefault="005C4FD3" w:rsidP="005C4FD3">
      <w:pPr>
        <w:pStyle w:val="newncpi"/>
      </w:pPr>
      <w: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rsidR="005C4FD3" w:rsidRDefault="005C4FD3" w:rsidP="005C4FD3">
      <w:pPr>
        <w:pStyle w:val="newncpi"/>
      </w:pPr>
      <w:r>
        <w:t xml:space="preserve">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w:t>
      </w:r>
      <w:r>
        <w:lastRenderedPageBreak/>
        <w:t>по избранному профилю (направлению) образования, при поступлении на очную (вечернюю), заочную или дистанционную форму получения образования;</w:t>
      </w:r>
    </w:p>
    <w:p w:rsidR="005C4FD3" w:rsidRDefault="005C4FD3" w:rsidP="005C4FD3">
      <w:pPr>
        <w:pStyle w:val="newncpi"/>
      </w:pPr>
      <w:r>
        <w:t>абитуриенты, получившие более высокий балл на вступительном испытании;</w:t>
      </w:r>
    </w:p>
    <w:p w:rsidR="005C4FD3" w:rsidRDefault="005C4FD3" w:rsidP="005C4FD3">
      <w:pPr>
        <w:pStyle w:val="newncpi"/>
      </w:pPr>
      <w:bookmarkStart w:id="38" w:name="a120"/>
      <w:bookmarkEnd w:id="38"/>
      <w:r>
        <w:t>абитуриенты, имеющие в документе об образовании более высокий балл по профильному учебному предмету;</w:t>
      </w:r>
    </w:p>
    <w:p w:rsidR="005C4FD3" w:rsidRDefault="005C4FD3" w:rsidP="005C4FD3">
      <w:pPr>
        <w:pStyle w:val="newncpi"/>
      </w:pPr>
      <w:r>
        <w:t>абитуриенты, имеющие в документе об образовании более высокий балл по учебным предметам «Русский язык» и «Белорусский язык»;</w:t>
      </w:r>
    </w:p>
    <w:p w:rsidR="005C4FD3" w:rsidRDefault="005C4FD3" w:rsidP="005C4FD3">
      <w:pPr>
        <w:pStyle w:val="newncpi"/>
      </w:pPr>
      <w:r>
        <w:t>абитуриенты, имеющие более высокий средний балл документа об образовании, точность которого определяется до сотых долей единицы;</w:t>
      </w:r>
    </w:p>
    <w:p w:rsidR="005C4FD3" w:rsidRDefault="005C4FD3" w:rsidP="005C4FD3">
      <w:pPr>
        <w:pStyle w:val="newncpi"/>
      </w:pPr>
      <w: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rsidR="005C4FD3" w:rsidRDefault="005C4FD3" w:rsidP="005C4FD3">
      <w:pPr>
        <w:pStyle w:val="newncpi"/>
      </w:pPr>
      <w:r>
        <w:t>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5C4FD3" w:rsidRDefault="005C4FD3" w:rsidP="005C4FD3">
      <w:pPr>
        <w:pStyle w:val="chapter"/>
      </w:pPr>
      <w:bookmarkStart w:id="39" w:name="a106"/>
      <w:bookmarkEnd w:id="39"/>
      <w:r>
        <w:t>ГЛАВА 5</w:t>
      </w:r>
      <w:r>
        <w:br/>
        <w:t>ЗАЧИСЛЕНИЕ АБИТУРИЕНТОВ</w:t>
      </w:r>
    </w:p>
    <w:p w:rsidR="005C4FD3" w:rsidRDefault="005C4FD3" w:rsidP="005C4FD3">
      <w:pPr>
        <w:pStyle w:val="point"/>
      </w:pPr>
      <w:r>
        <w:t>25. Сроки зачисления абитуриентов определяются Министерством образования.</w:t>
      </w:r>
    </w:p>
    <w:p w:rsidR="005C4FD3" w:rsidRDefault="005C4FD3" w:rsidP="005C4FD3">
      <w:pPr>
        <w:pStyle w:val="point"/>
      </w:pPr>
      <w:r>
        <w:t>26. Зачисление абитуриентов в УССО проводится по конкурсу на основе:</w:t>
      </w:r>
    </w:p>
    <w:p w:rsidR="005C4FD3" w:rsidRDefault="005C4FD3" w:rsidP="005C4FD3">
      <w:pPr>
        <w:pStyle w:val="newncpi"/>
      </w:pPr>
      <w: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rsidR="005C4FD3" w:rsidRDefault="005C4FD3" w:rsidP="005C4FD3">
      <w:pPr>
        <w:pStyle w:val="newncpi"/>
      </w:pPr>
      <w: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rsidR="005C4FD3" w:rsidRDefault="005C4FD3" w:rsidP="005C4FD3">
      <w:pPr>
        <w:pStyle w:val="newncpi"/>
      </w:pPr>
      <w:r>
        <w:t xml:space="preserve">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w:t>
      </w:r>
      <w:hyperlink w:anchor="a74" w:tooltip="+" w:history="1">
        <w:r>
          <w:rPr>
            <w:rStyle w:val="a3"/>
          </w:rPr>
          <w:t>приложению</w:t>
        </w:r>
      </w:hyperlink>
      <w:r>
        <w:t>.</w:t>
      </w:r>
    </w:p>
    <w:p w:rsidR="005C4FD3" w:rsidRDefault="005C4FD3" w:rsidP="005C4FD3">
      <w:pPr>
        <w:pStyle w:val="newncpi"/>
      </w:pPr>
      <w:r>
        <w:t>При поступлении для получения среднего специального образования в сокращенный срок зачисляются по конкурсу среднего балла:</w:t>
      </w:r>
    </w:p>
    <w:p w:rsidR="005C4FD3" w:rsidRDefault="005C4FD3" w:rsidP="005C4FD3">
      <w:pPr>
        <w:pStyle w:val="newncpi"/>
      </w:pPr>
      <w:r>
        <w:t>одного документа об образовании (</w:t>
      </w:r>
      <w:hyperlink r:id="rId41" w:anchor="a70" w:tooltip="+" w:history="1">
        <w:r>
          <w:rPr>
            <w:rStyle w:val="a3"/>
          </w:rPr>
          <w:t>диплома</w:t>
        </w:r>
      </w:hyperlink>
      <w:r>
        <w:t xml:space="preserve">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rsidR="005C4FD3" w:rsidRDefault="005C4FD3" w:rsidP="005C4FD3">
      <w:pPr>
        <w:pStyle w:val="newncpi"/>
      </w:pPr>
      <w:r>
        <w:t>двух документов об образовании (</w:t>
      </w:r>
      <w:hyperlink r:id="rId42" w:anchor="a75" w:tooltip="+" w:history="1">
        <w:r>
          <w:rPr>
            <w:rStyle w:val="a3"/>
          </w:rPr>
          <w:t>аттестата</w:t>
        </w:r>
      </w:hyperlink>
      <w:r>
        <w:t xml:space="preserve"> об общем среднем образовании и </w:t>
      </w:r>
      <w:hyperlink r:id="rId43" w:anchor="a70" w:tooltip="+" w:history="1">
        <w:r>
          <w:rPr>
            <w:rStyle w:val="a3"/>
          </w:rPr>
          <w:t>диплома</w:t>
        </w:r>
      </w:hyperlink>
      <w:r>
        <w:t xml:space="preserve">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rsidR="005C4FD3" w:rsidRDefault="005C4FD3" w:rsidP="005C4FD3">
      <w:pPr>
        <w:pStyle w:val="point"/>
      </w:pPr>
      <w:r>
        <w:lastRenderedPageBreak/>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rsidR="005C4FD3" w:rsidRDefault="005C4FD3" w:rsidP="005C4FD3">
      <w:pPr>
        <w:pStyle w:val="newncpi"/>
      </w:pPr>
      <w:r>
        <w:t>абитуриенты, сдавшие вступительное испытание в данном УССО;</w:t>
      </w:r>
    </w:p>
    <w:p w:rsidR="005C4FD3" w:rsidRDefault="005C4FD3" w:rsidP="005C4FD3">
      <w:pPr>
        <w:pStyle w:val="newncpi"/>
      </w:pPr>
      <w:r>
        <w:t>абитуриенты, сдавшие вступительное испытание в другом УССО.</w:t>
      </w:r>
    </w:p>
    <w:p w:rsidR="005C4FD3" w:rsidRDefault="005C4FD3" w:rsidP="005C4FD3">
      <w:pPr>
        <w:pStyle w:val="point"/>
      </w:pPr>
      <w: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rsidR="005C4FD3" w:rsidRDefault="005C4FD3" w:rsidP="005C4FD3">
      <w:pPr>
        <w:pStyle w:val="point"/>
      </w:pPr>
      <w: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rsidR="005C4FD3" w:rsidRDefault="005C4FD3" w:rsidP="005C4FD3">
      <w:pPr>
        <w:pStyle w:val="point"/>
      </w:pPr>
      <w: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rsidR="005C4FD3" w:rsidRDefault="005C4FD3" w:rsidP="005C4FD3">
      <w:pPr>
        <w:pStyle w:val="newncpi"/>
      </w:pPr>
      <w: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rsidR="005C4FD3" w:rsidRDefault="005C4FD3" w:rsidP="005C4FD3">
      <w:pPr>
        <w:pStyle w:val="point"/>
      </w:pPr>
      <w: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rsidR="005C4FD3" w:rsidRDefault="005C4FD3" w:rsidP="005C4FD3">
      <w:pPr>
        <w:pStyle w:val="newncpi"/>
      </w:pPr>
      <w: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rsidR="005C4FD3" w:rsidRDefault="005C4FD3" w:rsidP="005C4FD3">
      <w:pPr>
        <w:pStyle w:val="newncpi"/>
      </w:pPr>
      <w:r>
        <w:t>положительно сдавшие такие же вступительные испытания, но не прошедшие по конкурсу в данном УССО на другую специальность;</w:t>
      </w:r>
    </w:p>
    <w:p w:rsidR="005C4FD3" w:rsidRDefault="005C4FD3" w:rsidP="005C4FD3">
      <w:pPr>
        <w:pStyle w:val="newncpi"/>
      </w:pPr>
      <w:r>
        <w:t>не прошедшие по конкурсу среднего балла документа (документов) об образовании в данном УССО на другую специальность.</w:t>
      </w:r>
    </w:p>
    <w:p w:rsidR="005C4FD3" w:rsidRDefault="005C4FD3" w:rsidP="005C4FD3">
      <w:pPr>
        <w:pStyle w:val="newncpi"/>
      </w:pPr>
      <w: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rsidR="005C4FD3" w:rsidRDefault="005C4FD3" w:rsidP="005C4FD3">
      <w:pPr>
        <w:pStyle w:val="newncpi"/>
      </w:pPr>
      <w:r>
        <w:t xml:space="preserve">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w:t>
      </w:r>
      <w:r>
        <w:lastRenderedPageBreak/>
        <w:t>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rsidR="005C4FD3" w:rsidRDefault="005C4FD3" w:rsidP="005C4FD3">
      <w:pPr>
        <w:pStyle w:val="newncpi"/>
      </w:pPr>
      <w: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5C4FD3" w:rsidRDefault="005C4FD3" w:rsidP="005C4FD3">
      <w:pPr>
        <w:pStyle w:val="chapter"/>
      </w:pPr>
      <w:bookmarkStart w:id="40" w:name="a107"/>
      <w:bookmarkEnd w:id="40"/>
      <w:r>
        <w:t>ГЛАВА 6</w:t>
      </w:r>
      <w:r>
        <w:br/>
        <w:t>ЗАКЛЮЧИТЕЛЬНЫЕ ПОЛОЖЕНИЯ</w:t>
      </w:r>
    </w:p>
    <w:p w:rsidR="005C4FD3" w:rsidRDefault="005C4FD3" w:rsidP="005C4FD3">
      <w:pPr>
        <w:pStyle w:val="point"/>
      </w:pPr>
      <w:r>
        <w:t>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rsidR="005C4FD3" w:rsidRDefault="005C4FD3" w:rsidP="005C4FD3">
      <w:pPr>
        <w:pStyle w:val="point"/>
      </w:pPr>
      <w: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rsidR="005C4FD3" w:rsidRDefault="005C4FD3" w:rsidP="005C4FD3">
      <w:pPr>
        <w:pStyle w:val="point"/>
      </w:pPr>
      <w: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rsidR="005C4FD3" w:rsidRDefault="005C4FD3" w:rsidP="005C4FD3">
      <w:pPr>
        <w:pStyle w:val="point"/>
      </w:pPr>
      <w: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rsidR="005C4FD3" w:rsidRDefault="005C4FD3" w:rsidP="005C4FD3">
      <w:pPr>
        <w:pStyle w:val="newncpi"/>
      </w:pPr>
      <w:r>
        <w:t> </w:t>
      </w:r>
    </w:p>
    <w:tbl>
      <w:tblPr>
        <w:tblW w:w="5000" w:type="pct"/>
        <w:tblCellMar>
          <w:left w:w="0" w:type="dxa"/>
          <w:right w:w="0" w:type="dxa"/>
        </w:tblCellMar>
        <w:tblLook w:val="04A0" w:firstRow="1" w:lastRow="0" w:firstColumn="1" w:lastColumn="0" w:noHBand="0" w:noVBand="1"/>
      </w:tblPr>
      <w:tblGrid>
        <w:gridCol w:w="7856"/>
        <w:gridCol w:w="2944"/>
      </w:tblGrid>
      <w:tr w:rsidR="005C4FD3" w:rsidTr="009F48CD">
        <w:tc>
          <w:tcPr>
            <w:tcW w:w="3637" w:type="pct"/>
            <w:tcBorders>
              <w:top w:val="nil"/>
              <w:left w:val="nil"/>
              <w:bottom w:val="nil"/>
              <w:right w:val="nil"/>
            </w:tcBorders>
            <w:tcMar>
              <w:top w:w="0" w:type="dxa"/>
              <w:left w:w="6" w:type="dxa"/>
              <w:bottom w:w="0" w:type="dxa"/>
              <w:right w:w="6" w:type="dxa"/>
            </w:tcMar>
            <w:hideMark/>
          </w:tcPr>
          <w:p w:rsidR="005C4FD3" w:rsidRDefault="005C4FD3" w:rsidP="009F48CD">
            <w:pPr>
              <w:pStyle w:val="newncpi"/>
            </w:pPr>
            <w:r>
              <w:t> </w:t>
            </w:r>
          </w:p>
        </w:tc>
        <w:tc>
          <w:tcPr>
            <w:tcW w:w="1363" w:type="pct"/>
            <w:tcBorders>
              <w:top w:val="nil"/>
              <w:left w:val="nil"/>
              <w:bottom w:val="nil"/>
              <w:right w:val="nil"/>
            </w:tcBorders>
            <w:tcMar>
              <w:top w:w="0" w:type="dxa"/>
              <w:left w:w="6" w:type="dxa"/>
              <w:bottom w:w="0" w:type="dxa"/>
              <w:right w:w="6" w:type="dxa"/>
            </w:tcMar>
            <w:hideMark/>
          </w:tcPr>
          <w:p w:rsidR="005C4FD3" w:rsidRDefault="005C4FD3" w:rsidP="009F48CD">
            <w:pPr>
              <w:pStyle w:val="append1"/>
            </w:pPr>
            <w:bookmarkStart w:id="41" w:name="a74"/>
            <w:bookmarkEnd w:id="41"/>
            <w:r>
              <w:t>Приложение</w:t>
            </w:r>
          </w:p>
          <w:p w:rsidR="005C4FD3" w:rsidRDefault="005C4FD3" w:rsidP="009F48CD">
            <w:pPr>
              <w:pStyle w:val="append"/>
            </w:pPr>
            <w:r>
              <w:t xml:space="preserve">к </w:t>
            </w:r>
            <w:hyperlink w:anchor="a15" w:tooltip="+" w:history="1">
              <w:r>
                <w:rPr>
                  <w:rStyle w:val="a3"/>
                </w:rPr>
                <w:t>Правилам</w:t>
              </w:r>
            </w:hyperlink>
            <w:r>
              <w:t xml:space="preserve"> приема лиц</w:t>
            </w:r>
            <w:r>
              <w:br/>
              <w:t>для получения среднего</w:t>
            </w:r>
            <w:r>
              <w:br/>
              <w:t xml:space="preserve">специального образования </w:t>
            </w:r>
          </w:p>
        </w:tc>
      </w:tr>
    </w:tbl>
    <w:p w:rsidR="005C4FD3" w:rsidRDefault="005C4FD3" w:rsidP="005C4FD3">
      <w:pPr>
        <w:pStyle w:val="titlep"/>
        <w:jc w:val="left"/>
      </w:pPr>
      <w:r>
        <w:t>ПЕРЕВОДНАЯ ТАБЛИЦА</w:t>
      </w:r>
      <w: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519"/>
        <w:gridCol w:w="2884"/>
        <w:gridCol w:w="2516"/>
        <w:gridCol w:w="2881"/>
      </w:tblGrid>
      <w:tr w:rsidR="005C4FD3" w:rsidTr="009F48CD">
        <w:trPr>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vAlign w:val="center"/>
            <w:hideMark/>
          </w:tcPr>
          <w:p w:rsidR="005C4FD3" w:rsidRDefault="005C4FD3" w:rsidP="009F48CD">
            <w:pPr>
              <w:pStyle w:val="table10"/>
              <w:jc w:val="center"/>
            </w:pPr>
            <w:r>
              <w:t>Средний балл документа об образовании по шкале</w:t>
            </w:r>
          </w:p>
        </w:tc>
      </w:tr>
      <w:tr w:rsidR="005C4FD3" w:rsidTr="009F48CD">
        <w:trPr>
          <w:trHeight w:val="240"/>
        </w:trPr>
        <w:tc>
          <w:tcPr>
            <w:tcW w:w="116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C4FD3" w:rsidRDefault="005C4FD3" w:rsidP="009F48CD">
            <w:pPr>
              <w:pStyle w:val="table10"/>
              <w:jc w:val="center"/>
            </w:pPr>
            <w: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4FD3" w:rsidRDefault="005C4FD3" w:rsidP="009F48CD">
            <w:pPr>
              <w:pStyle w:val="table10"/>
              <w:jc w:val="center"/>
            </w:pPr>
            <w: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4FD3" w:rsidRDefault="005C4FD3" w:rsidP="009F48CD">
            <w:pPr>
              <w:pStyle w:val="table10"/>
              <w:jc w:val="center"/>
            </w:pPr>
            <w:r>
              <w:t>пятибалльной</w:t>
            </w:r>
          </w:p>
        </w:tc>
        <w:tc>
          <w:tcPr>
            <w:tcW w:w="133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C4FD3" w:rsidRDefault="005C4FD3" w:rsidP="009F48CD">
            <w:pPr>
              <w:pStyle w:val="table10"/>
              <w:jc w:val="center"/>
            </w:pPr>
            <w:r>
              <w:t>десятибалльной</w:t>
            </w:r>
          </w:p>
        </w:tc>
      </w:tr>
      <w:tr w:rsidR="005C4FD3" w:rsidTr="009F48CD">
        <w:trPr>
          <w:trHeight w:val="240"/>
        </w:trPr>
        <w:tc>
          <w:tcPr>
            <w:tcW w:w="1166" w:type="pct"/>
            <w:tcBorders>
              <w:top w:val="single" w:sz="4" w:space="0" w:color="auto"/>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3,0</w:t>
            </w:r>
          </w:p>
        </w:tc>
        <w:tc>
          <w:tcPr>
            <w:tcW w:w="1335" w:type="pct"/>
            <w:tcBorders>
              <w:top w:val="single" w:sz="4" w:space="0" w:color="auto"/>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3,0</w:t>
            </w:r>
          </w:p>
        </w:tc>
        <w:tc>
          <w:tcPr>
            <w:tcW w:w="1165" w:type="pct"/>
            <w:tcBorders>
              <w:top w:val="single" w:sz="4" w:space="0" w:color="auto"/>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4,0</w:t>
            </w:r>
          </w:p>
        </w:tc>
        <w:tc>
          <w:tcPr>
            <w:tcW w:w="1334" w:type="pct"/>
            <w:tcBorders>
              <w:top w:val="single" w:sz="4" w:space="0" w:color="auto"/>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6,5</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3,1</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3,4</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4,1</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6,9</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3,2</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3,7</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4,2</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7,2</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3,3</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4,0</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4,3</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7,6</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3,4</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4,4</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4,4</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7,9</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3,5</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4,8</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4,5</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8,3</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3,6</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5,1</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4,6</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8,6</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3,7</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5,5</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4,7</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9,0</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3,8</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5,8</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4,8</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9,3</w:t>
            </w:r>
          </w:p>
        </w:tc>
      </w:tr>
      <w:tr w:rsidR="005C4FD3" w:rsidTr="009F48CD">
        <w:trPr>
          <w:trHeight w:val="240"/>
        </w:trPr>
        <w:tc>
          <w:tcPr>
            <w:tcW w:w="1166"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3,9</w:t>
            </w:r>
          </w:p>
        </w:tc>
        <w:tc>
          <w:tcPr>
            <w:tcW w:w="133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6,2</w:t>
            </w:r>
          </w:p>
        </w:tc>
        <w:tc>
          <w:tcPr>
            <w:tcW w:w="1165"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4,9</w:t>
            </w:r>
          </w:p>
        </w:tc>
        <w:tc>
          <w:tcPr>
            <w:tcW w:w="1334" w:type="pct"/>
            <w:tcBorders>
              <w:top w:val="nil"/>
              <w:left w:val="nil"/>
              <w:bottom w:val="nil"/>
              <w:right w:val="nil"/>
            </w:tcBorders>
            <w:tcMar>
              <w:top w:w="0" w:type="dxa"/>
              <w:left w:w="6" w:type="dxa"/>
              <w:bottom w:w="0" w:type="dxa"/>
              <w:right w:w="6" w:type="dxa"/>
            </w:tcMar>
            <w:hideMark/>
          </w:tcPr>
          <w:p w:rsidR="005C4FD3" w:rsidRDefault="005C4FD3" w:rsidP="009F48CD">
            <w:pPr>
              <w:pStyle w:val="table10"/>
              <w:spacing w:before="120"/>
              <w:jc w:val="center"/>
            </w:pPr>
            <w:r>
              <w:t>9,7</w:t>
            </w:r>
          </w:p>
        </w:tc>
      </w:tr>
      <w:tr w:rsidR="005C4FD3" w:rsidTr="009F48CD">
        <w:trPr>
          <w:trHeight w:val="240"/>
        </w:trPr>
        <w:tc>
          <w:tcPr>
            <w:tcW w:w="1166" w:type="pct"/>
            <w:tcBorders>
              <w:top w:val="nil"/>
              <w:left w:val="nil"/>
              <w:bottom w:val="single" w:sz="4" w:space="0" w:color="auto"/>
              <w:right w:val="nil"/>
            </w:tcBorders>
            <w:tcMar>
              <w:top w:w="0" w:type="dxa"/>
              <w:left w:w="6" w:type="dxa"/>
              <w:bottom w:w="0" w:type="dxa"/>
              <w:right w:w="6" w:type="dxa"/>
            </w:tcMar>
            <w:hideMark/>
          </w:tcPr>
          <w:p w:rsidR="005C4FD3" w:rsidRDefault="005C4FD3" w:rsidP="009F48CD">
            <w:pPr>
              <w:pStyle w:val="table10"/>
              <w:spacing w:before="120"/>
              <w:jc w:val="center"/>
            </w:pPr>
            <w:r>
              <w:t> </w:t>
            </w:r>
          </w:p>
        </w:tc>
        <w:tc>
          <w:tcPr>
            <w:tcW w:w="1335" w:type="pct"/>
            <w:tcBorders>
              <w:top w:val="nil"/>
              <w:left w:val="nil"/>
              <w:bottom w:val="single" w:sz="4" w:space="0" w:color="auto"/>
              <w:right w:val="nil"/>
            </w:tcBorders>
            <w:tcMar>
              <w:top w:w="0" w:type="dxa"/>
              <w:left w:w="6" w:type="dxa"/>
              <w:bottom w:w="0" w:type="dxa"/>
              <w:right w:w="6" w:type="dxa"/>
            </w:tcMar>
            <w:hideMark/>
          </w:tcPr>
          <w:p w:rsidR="005C4FD3" w:rsidRDefault="005C4FD3" w:rsidP="009F48CD">
            <w:pPr>
              <w:pStyle w:val="table10"/>
              <w:spacing w:before="120"/>
              <w:jc w:val="center"/>
            </w:pPr>
            <w:r>
              <w:t> </w:t>
            </w:r>
          </w:p>
        </w:tc>
        <w:tc>
          <w:tcPr>
            <w:tcW w:w="1165" w:type="pct"/>
            <w:tcBorders>
              <w:top w:val="nil"/>
              <w:left w:val="nil"/>
              <w:bottom w:val="single" w:sz="4" w:space="0" w:color="auto"/>
              <w:right w:val="nil"/>
            </w:tcBorders>
            <w:tcMar>
              <w:top w:w="0" w:type="dxa"/>
              <w:left w:w="6" w:type="dxa"/>
              <w:bottom w:w="0" w:type="dxa"/>
              <w:right w:w="6" w:type="dxa"/>
            </w:tcMar>
            <w:hideMark/>
          </w:tcPr>
          <w:p w:rsidR="005C4FD3" w:rsidRDefault="005C4FD3" w:rsidP="009F48CD">
            <w:pPr>
              <w:pStyle w:val="table10"/>
              <w:spacing w:before="120"/>
              <w:jc w:val="center"/>
            </w:pPr>
            <w:r>
              <w:t>5,0</w:t>
            </w:r>
          </w:p>
        </w:tc>
        <w:tc>
          <w:tcPr>
            <w:tcW w:w="1334" w:type="pct"/>
            <w:tcBorders>
              <w:top w:val="nil"/>
              <w:left w:val="nil"/>
              <w:bottom w:val="single" w:sz="4" w:space="0" w:color="auto"/>
              <w:right w:val="nil"/>
            </w:tcBorders>
            <w:tcMar>
              <w:top w:w="0" w:type="dxa"/>
              <w:left w:w="6" w:type="dxa"/>
              <w:bottom w:w="0" w:type="dxa"/>
              <w:right w:w="6" w:type="dxa"/>
            </w:tcMar>
            <w:hideMark/>
          </w:tcPr>
          <w:p w:rsidR="005C4FD3" w:rsidRDefault="005C4FD3" w:rsidP="009F48CD">
            <w:pPr>
              <w:pStyle w:val="table10"/>
              <w:spacing w:before="120"/>
              <w:jc w:val="center"/>
            </w:pPr>
            <w:r>
              <w:t>10,0</w:t>
            </w:r>
          </w:p>
        </w:tc>
      </w:tr>
    </w:tbl>
    <w:p w:rsidR="009112DB" w:rsidRDefault="009112DB">
      <w:bookmarkStart w:id="42" w:name="_GoBack"/>
      <w:bookmarkEnd w:id="42"/>
    </w:p>
    <w:sectPr w:rsidR="009112D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D3"/>
    <w:rsid w:val="005C4FD3"/>
    <w:rsid w:val="0091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56126-342B-4EFE-B238-3DBD9439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5C4FD3"/>
    <w:pPr>
      <w:spacing w:before="160" w:line="240" w:lineRule="auto"/>
      <w:ind w:firstLine="567"/>
      <w:jc w:val="both"/>
    </w:pPr>
    <w:rPr>
      <w:rFonts w:ascii="Times New Roman" w:hAnsi="Times New Roman" w:cs="Times New Roman"/>
      <w:sz w:val="24"/>
      <w:szCs w:val="24"/>
    </w:rPr>
  </w:style>
  <w:style w:type="character" w:styleId="a3">
    <w:name w:val="Hyperlink"/>
    <w:basedOn w:val="a0"/>
    <w:uiPriority w:val="99"/>
    <w:semiHidden/>
    <w:unhideWhenUsed/>
    <w:rsid w:val="005C4FD3"/>
    <w:rPr>
      <w:color w:val="0000FF"/>
      <w:u w:val="single"/>
    </w:rPr>
  </w:style>
  <w:style w:type="paragraph" w:customStyle="1" w:styleId="point">
    <w:name w:val="point"/>
    <w:basedOn w:val="a"/>
    <w:rsid w:val="005C4FD3"/>
    <w:pPr>
      <w:spacing w:before="160" w:line="240" w:lineRule="auto"/>
      <w:ind w:firstLine="567"/>
      <w:jc w:val="both"/>
    </w:pPr>
    <w:rPr>
      <w:rFonts w:ascii="Times New Roman" w:hAnsi="Times New Roman" w:cs="Times New Roman"/>
      <w:sz w:val="24"/>
      <w:szCs w:val="24"/>
    </w:rPr>
  </w:style>
  <w:style w:type="paragraph" w:customStyle="1" w:styleId="append1">
    <w:name w:val="append1"/>
    <w:basedOn w:val="a"/>
    <w:rsid w:val="005C4FD3"/>
    <w:pPr>
      <w:spacing w:after="28" w:line="240" w:lineRule="auto"/>
    </w:pPr>
    <w:rPr>
      <w:rFonts w:ascii="Times New Roman" w:hAnsi="Times New Roman" w:cs="Times New Roman"/>
      <w:i/>
      <w:iCs/>
    </w:rPr>
  </w:style>
  <w:style w:type="paragraph" w:customStyle="1" w:styleId="append">
    <w:name w:val="append"/>
    <w:basedOn w:val="a"/>
    <w:rsid w:val="005C4FD3"/>
    <w:pPr>
      <w:spacing w:after="0" w:line="240" w:lineRule="auto"/>
    </w:pPr>
    <w:rPr>
      <w:rFonts w:ascii="Times New Roman" w:hAnsi="Times New Roman" w:cs="Times New Roman"/>
      <w:i/>
      <w:iCs/>
    </w:rPr>
  </w:style>
  <w:style w:type="paragraph" w:customStyle="1" w:styleId="titlep">
    <w:name w:val="titlep"/>
    <w:basedOn w:val="a"/>
    <w:rsid w:val="005C4FD3"/>
    <w:pPr>
      <w:spacing w:before="360" w:after="360" w:line="240" w:lineRule="auto"/>
      <w:jc w:val="center"/>
    </w:pPr>
    <w:rPr>
      <w:rFonts w:ascii="Times New Roman" w:hAnsi="Times New Roman" w:cs="Times New Roman"/>
      <w:b/>
      <w:bCs/>
      <w:sz w:val="24"/>
      <w:szCs w:val="24"/>
    </w:rPr>
  </w:style>
  <w:style w:type="paragraph" w:customStyle="1" w:styleId="capu1">
    <w:name w:val="capu1"/>
    <w:basedOn w:val="a"/>
    <w:rsid w:val="005C4FD3"/>
    <w:pPr>
      <w:spacing w:after="120" w:line="240" w:lineRule="auto"/>
    </w:pPr>
    <w:rPr>
      <w:rFonts w:ascii="Times New Roman" w:hAnsi="Times New Roman" w:cs="Times New Roman"/>
      <w:i/>
      <w:iCs/>
    </w:rPr>
  </w:style>
  <w:style w:type="paragraph" w:customStyle="1" w:styleId="cap1">
    <w:name w:val="cap1"/>
    <w:basedOn w:val="a"/>
    <w:rsid w:val="005C4FD3"/>
    <w:pPr>
      <w:spacing w:after="0" w:line="240" w:lineRule="auto"/>
    </w:pPr>
    <w:rPr>
      <w:rFonts w:ascii="Times New Roman" w:hAnsi="Times New Roman" w:cs="Times New Roman"/>
      <w:i/>
      <w:iCs/>
    </w:rPr>
  </w:style>
  <w:style w:type="paragraph" w:customStyle="1" w:styleId="titleu">
    <w:name w:val="titleu"/>
    <w:basedOn w:val="a"/>
    <w:rsid w:val="005C4FD3"/>
    <w:pPr>
      <w:spacing w:before="360" w:after="360" w:line="240" w:lineRule="auto"/>
    </w:pPr>
    <w:rPr>
      <w:rFonts w:ascii="Times New Roman" w:hAnsi="Times New Roman" w:cs="Times New Roman"/>
      <w:b/>
      <w:bCs/>
      <w:sz w:val="24"/>
      <w:szCs w:val="24"/>
    </w:rPr>
  </w:style>
  <w:style w:type="paragraph" w:customStyle="1" w:styleId="chapter">
    <w:name w:val="chapter"/>
    <w:basedOn w:val="a"/>
    <w:rsid w:val="005C4FD3"/>
    <w:pPr>
      <w:spacing w:before="360" w:after="360" w:line="240" w:lineRule="auto"/>
      <w:jc w:val="center"/>
    </w:pPr>
    <w:rPr>
      <w:rFonts w:ascii="Times New Roman" w:hAnsi="Times New Roman" w:cs="Times New Roman"/>
      <w:b/>
      <w:bCs/>
      <w:caps/>
      <w:sz w:val="24"/>
      <w:szCs w:val="24"/>
    </w:rPr>
  </w:style>
  <w:style w:type="paragraph" w:customStyle="1" w:styleId="snoskiline">
    <w:name w:val="snoskiline"/>
    <w:basedOn w:val="a"/>
    <w:rsid w:val="005C4FD3"/>
    <w:pPr>
      <w:spacing w:after="0" w:line="240" w:lineRule="auto"/>
      <w:jc w:val="both"/>
    </w:pPr>
    <w:rPr>
      <w:rFonts w:ascii="Times New Roman" w:hAnsi="Times New Roman" w:cs="Times New Roman"/>
      <w:sz w:val="20"/>
      <w:szCs w:val="20"/>
    </w:rPr>
  </w:style>
  <w:style w:type="paragraph" w:customStyle="1" w:styleId="snoski">
    <w:name w:val="snoski"/>
    <w:basedOn w:val="a"/>
    <w:rsid w:val="005C4FD3"/>
    <w:pPr>
      <w:spacing w:before="160" w:line="240" w:lineRule="auto"/>
      <w:ind w:firstLine="567"/>
      <w:jc w:val="both"/>
    </w:pPr>
    <w:rPr>
      <w:rFonts w:ascii="Times New Roman" w:hAnsi="Times New Roman" w:cs="Times New Roman"/>
      <w:sz w:val="20"/>
      <w:szCs w:val="20"/>
    </w:rPr>
  </w:style>
  <w:style w:type="paragraph" w:customStyle="1" w:styleId="table10">
    <w:name w:val="table10"/>
    <w:basedOn w:val="a"/>
    <w:rsid w:val="005C4FD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x.dll?d=194156&amp;a=373" TargetMode="External"/><Relationship Id="rId18" Type="http://schemas.openxmlformats.org/officeDocument/2006/relationships/hyperlink" Target="tx.dll?d=152808&amp;a=3" TargetMode="External"/><Relationship Id="rId26" Type="http://schemas.openxmlformats.org/officeDocument/2006/relationships/hyperlink" Target="tx.dll?d=344641&amp;a=9" TargetMode="External"/><Relationship Id="rId39" Type="http://schemas.openxmlformats.org/officeDocument/2006/relationships/hyperlink" Target="tx.dll?d=150560&amp;a=188" TargetMode="External"/><Relationship Id="rId21" Type="http://schemas.openxmlformats.org/officeDocument/2006/relationships/hyperlink" Target="tx.dll?d=217604&amp;a=3" TargetMode="External"/><Relationship Id="rId34" Type="http://schemas.openxmlformats.org/officeDocument/2006/relationships/hyperlink" Target="tx.dll?d=461607&amp;a=51" TargetMode="External"/><Relationship Id="rId42" Type="http://schemas.openxmlformats.org/officeDocument/2006/relationships/hyperlink" Target="tx.dll?d=615551&amp;a=75" TargetMode="External"/><Relationship Id="rId7" Type="http://schemas.openxmlformats.org/officeDocument/2006/relationships/hyperlink" Target="tx.dll?d=282674&amp;a=2" TargetMode="External"/><Relationship Id="rId2" Type="http://schemas.openxmlformats.org/officeDocument/2006/relationships/settings" Target="settings.xml"/><Relationship Id="rId16" Type="http://schemas.openxmlformats.org/officeDocument/2006/relationships/hyperlink" Target="tx.dll?d=615551&amp;a=93" TargetMode="External"/><Relationship Id="rId29" Type="http://schemas.openxmlformats.org/officeDocument/2006/relationships/hyperlink" Target="tx.dll?d=615551&amp;a=93" TargetMode="External"/><Relationship Id="rId1" Type="http://schemas.openxmlformats.org/officeDocument/2006/relationships/styles" Target="styles.xml"/><Relationship Id="rId6" Type="http://schemas.openxmlformats.org/officeDocument/2006/relationships/hyperlink" Target="tx.dll?d=461607&amp;a=51" TargetMode="External"/><Relationship Id="rId11" Type="http://schemas.openxmlformats.org/officeDocument/2006/relationships/hyperlink" Target="tx.dll?d=622225&amp;a=71" TargetMode="External"/><Relationship Id="rId24" Type="http://schemas.openxmlformats.org/officeDocument/2006/relationships/hyperlink" Target="tx.dll?d=90893&amp;a=11" TargetMode="External"/><Relationship Id="rId32" Type="http://schemas.openxmlformats.org/officeDocument/2006/relationships/hyperlink" Target="tx.dll?d=627691&amp;a=8" TargetMode="External"/><Relationship Id="rId37" Type="http://schemas.openxmlformats.org/officeDocument/2006/relationships/hyperlink" Target="tx.dll?d=150560&amp;a=186" TargetMode="External"/><Relationship Id="rId40" Type="http://schemas.openxmlformats.org/officeDocument/2006/relationships/hyperlink" Target="tx.dll?d=150560&amp;a=189" TargetMode="External"/><Relationship Id="rId45" Type="http://schemas.openxmlformats.org/officeDocument/2006/relationships/theme" Target="theme/theme1.xml"/><Relationship Id="rId5" Type="http://schemas.openxmlformats.org/officeDocument/2006/relationships/hyperlink" Target="tx.dll?d=191480&amp;a=2" TargetMode="External"/><Relationship Id="rId15" Type="http://schemas.openxmlformats.org/officeDocument/2006/relationships/hyperlink" Target="tx.dll?d=39559&amp;a=7" TargetMode="External"/><Relationship Id="rId23" Type="http://schemas.openxmlformats.org/officeDocument/2006/relationships/hyperlink" Target="tx.dll?d=90893&amp;a=9" TargetMode="External"/><Relationship Id="rId28" Type="http://schemas.openxmlformats.org/officeDocument/2006/relationships/hyperlink" Target="tx.dll?d=344641&amp;a=7" TargetMode="External"/><Relationship Id="rId36" Type="http://schemas.openxmlformats.org/officeDocument/2006/relationships/hyperlink" Target="tx.dll?d=150560&amp;a=185" TargetMode="External"/><Relationship Id="rId10" Type="http://schemas.openxmlformats.org/officeDocument/2006/relationships/hyperlink" Target="tx.dll?d=404008&amp;a=11" TargetMode="External"/><Relationship Id="rId19" Type="http://schemas.openxmlformats.org/officeDocument/2006/relationships/hyperlink" Target="tx.dll?d=191480&amp;a=2" TargetMode="External"/><Relationship Id="rId31" Type="http://schemas.openxmlformats.org/officeDocument/2006/relationships/hyperlink" Target="tx.dll?d=615551&amp;a=71" TargetMode="External"/><Relationship Id="rId44" Type="http://schemas.openxmlformats.org/officeDocument/2006/relationships/fontTable" Target="fontTable.xml"/><Relationship Id="rId4" Type="http://schemas.openxmlformats.org/officeDocument/2006/relationships/hyperlink" Target="tx.dll?d=193533&amp;a=8" TargetMode="External"/><Relationship Id="rId9" Type="http://schemas.openxmlformats.org/officeDocument/2006/relationships/hyperlink" Target="tx.dll?d=622225&amp;a=71" TargetMode="External"/><Relationship Id="rId14" Type="http://schemas.openxmlformats.org/officeDocument/2006/relationships/hyperlink" Target="tx.dll?d=193533&amp;a=8" TargetMode="External"/><Relationship Id="rId22" Type="http://schemas.openxmlformats.org/officeDocument/2006/relationships/hyperlink" Target="tx.dll?d=344641&amp;a=8" TargetMode="External"/><Relationship Id="rId27" Type="http://schemas.openxmlformats.org/officeDocument/2006/relationships/hyperlink" Target="tx.dll?d=244456&amp;a=6" TargetMode="External"/><Relationship Id="rId30" Type="http://schemas.openxmlformats.org/officeDocument/2006/relationships/hyperlink" Target="tx.dll?d=587117&amp;a=5" TargetMode="External"/><Relationship Id="rId35" Type="http://schemas.openxmlformats.org/officeDocument/2006/relationships/hyperlink" Target="tx.dll?d=150560&amp;a=184" TargetMode="External"/><Relationship Id="rId43" Type="http://schemas.openxmlformats.org/officeDocument/2006/relationships/hyperlink" Target="tx.dll?d=615551&amp;a=70" TargetMode="External"/><Relationship Id="rId8" Type="http://schemas.openxmlformats.org/officeDocument/2006/relationships/hyperlink" Target="tx.dll?d=622225&amp;a=68" TargetMode="External"/><Relationship Id="rId3" Type="http://schemas.openxmlformats.org/officeDocument/2006/relationships/webSettings" Target="webSettings.xml"/><Relationship Id="rId12" Type="http://schemas.openxmlformats.org/officeDocument/2006/relationships/hyperlink" Target="tx.dll?d=301372&amp;a=2" TargetMode="External"/><Relationship Id="rId17" Type="http://schemas.openxmlformats.org/officeDocument/2006/relationships/hyperlink" Target="tx.dll?d=287407&amp;a=17" TargetMode="External"/><Relationship Id="rId25" Type="http://schemas.openxmlformats.org/officeDocument/2006/relationships/hyperlink" Target="tx.dll?d=193533&amp;a=8" TargetMode="External"/><Relationship Id="rId33" Type="http://schemas.openxmlformats.org/officeDocument/2006/relationships/hyperlink" Target="tx.dll?d=191480&amp;a=2" TargetMode="External"/><Relationship Id="rId38" Type="http://schemas.openxmlformats.org/officeDocument/2006/relationships/hyperlink" Target="tx.dll?d=150560&amp;a=187" TargetMode="External"/><Relationship Id="rId20" Type="http://schemas.openxmlformats.org/officeDocument/2006/relationships/hyperlink" Target="tx.dll?d=461607&amp;a=51" TargetMode="External"/><Relationship Id="rId41" Type="http://schemas.openxmlformats.org/officeDocument/2006/relationships/hyperlink" Target="tx.dll?d=615551&amp;a=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8518</Words>
  <Characters>48556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2023-03-15T10:33:00Z</dcterms:created>
  <dcterms:modified xsi:type="dcterms:W3CDTF">2023-03-15T10:34:00Z</dcterms:modified>
</cp:coreProperties>
</file>